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jc w:val="center"/>
        <w:rPr>
          <w:rFonts w:ascii="黑体" w:hAnsi="黑体" w:eastAsia="黑体" w:cs="黑体"/>
          <w:sz w:val="52"/>
          <w:szCs w:val="52"/>
        </w:rPr>
      </w:pPr>
      <w:r>
        <w:rPr>
          <w:rFonts w:hint="eastAsia" w:ascii="黑体" w:hAnsi="黑体" w:eastAsia="黑体" w:cs="黑体"/>
          <w:sz w:val="52"/>
          <w:szCs w:val="52"/>
        </w:rPr>
        <w:t>20</w:t>
      </w:r>
      <w:r>
        <w:rPr>
          <w:rFonts w:ascii="黑体" w:hAnsi="黑体" w:eastAsia="黑体" w:cs="黑体"/>
          <w:sz w:val="52"/>
          <w:szCs w:val="52"/>
        </w:rPr>
        <w:t>2</w:t>
      </w:r>
      <w:r>
        <w:rPr>
          <w:rFonts w:hint="eastAsia" w:ascii="黑体" w:hAnsi="黑体" w:eastAsia="黑体" w:cs="黑体"/>
          <w:sz w:val="52"/>
          <w:szCs w:val="52"/>
        </w:rPr>
        <w:t>1年度</w:t>
      </w:r>
    </w:p>
    <w:p>
      <w:pPr>
        <w:jc w:val="center"/>
        <w:rPr>
          <w:rFonts w:ascii="黑体" w:hAnsi="黑体" w:eastAsia="黑体" w:cs="黑体"/>
          <w:sz w:val="52"/>
          <w:szCs w:val="52"/>
        </w:rPr>
      </w:pPr>
      <w:r>
        <w:rPr>
          <w:rFonts w:hint="eastAsia" w:ascii="黑体" w:hAnsi="黑体" w:eastAsia="黑体" w:cs="黑体"/>
          <w:sz w:val="52"/>
          <w:szCs w:val="52"/>
        </w:rPr>
        <w:t>开封市人民医院（本级）决算</w:t>
      </w:r>
    </w:p>
    <w:p>
      <w:pPr>
        <w:jc w:val="center"/>
        <w:rPr>
          <w:rFonts w:ascii="黑体" w:hAnsi="黑体" w:eastAsia="黑体" w:cs="黑体"/>
          <w:sz w:val="52"/>
          <w:szCs w:val="52"/>
        </w:rPr>
      </w:pPr>
    </w:p>
    <w:p>
      <w:pPr>
        <w:jc w:val="center"/>
        <w:rPr>
          <w:rFonts w:ascii="黑体" w:hAnsi="黑体" w:eastAsia="黑体" w:cs="黑体"/>
          <w:sz w:val="52"/>
          <w:szCs w:val="52"/>
        </w:rPr>
      </w:pPr>
    </w:p>
    <w:p>
      <w:pPr>
        <w:jc w:val="center"/>
        <w:rPr>
          <w:rFonts w:ascii="黑体" w:hAnsi="黑体" w:eastAsia="黑体" w:cs="黑体"/>
          <w:sz w:val="52"/>
          <w:szCs w:val="52"/>
        </w:rPr>
      </w:pPr>
    </w:p>
    <w:p>
      <w:pPr>
        <w:jc w:val="center"/>
        <w:rPr>
          <w:rFonts w:ascii="黑体" w:hAnsi="黑体" w:eastAsia="黑体" w:cs="黑体"/>
          <w:sz w:val="52"/>
          <w:szCs w:val="52"/>
        </w:rPr>
      </w:pPr>
    </w:p>
    <w:p>
      <w:pPr>
        <w:jc w:val="center"/>
        <w:rPr>
          <w:rFonts w:ascii="黑体" w:hAnsi="黑体" w:eastAsia="黑体" w:cs="黑体"/>
          <w:sz w:val="52"/>
          <w:szCs w:val="52"/>
        </w:rPr>
      </w:pPr>
    </w:p>
    <w:p>
      <w:pPr>
        <w:jc w:val="center"/>
        <w:rPr>
          <w:rFonts w:ascii="黑体" w:hAnsi="黑体" w:eastAsia="黑体" w:cs="黑体"/>
          <w:sz w:val="52"/>
          <w:szCs w:val="52"/>
        </w:rPr>
      </w:pPr>
    </w:p>
    <w:p>
      <w:pPr>
        <w:jc w:val="center"/>
        <w:rPr>
          <w:rFonts w:ascii="黑体" w:hAnsi="黑体" w:eastAsia="黑体" w:cs="黑体"/>
          <w:sz w:val="32"/>
          <w:szCs w:val="32"/>
        </w:rPr>
        <w:sectPr>
          <w:pgSz w:w="11906" w:h="16838"/>
          <w:pgMar w:top="1440" w:right="1531" w:bottom="1440" w:left="1587" w:header="850" w:footer="992" w:gutter="0"/>
          <w:pgNumType w:fmt="numberInDash"/>
          <w:cols w:space="720" w:num="1"/>
          <w:docGrid w:type="lines" w:linePitch="317" w:charSpace="0"/>
        </w:sectPr>
      </w:pPr>
      <w:r>
        <w:rPr>
          <w:rFonts w:hint="eastAsia" w:ascii="黑体" w:hAnsi="黑体" w:eastAsia="黑体" w:cs="黑体"/>
          <w:sz w:val="32"/>
          <w:szCs w:val="32"/>
        </w:rPr>
        <w:t>二〇二一年九月</w:t>
      </w:r>
    </w:p>
    <w:p>
      <w:pPr>
        <w:jc w:val="center"/>
        <w:rPr>
          <w:rFonts w:ascii="黑体" w:hAnsi="黑体" w:eastAsia="黑体" w:cs="黑体"/>
          <w:sz w:val="36"/>
          <w:szCs w:val="36"/>
        </w:rPr>
      </w:pPr>
      <w:r>
        <w:rPr>
          <w:rFonts w:hint="eastAsia" w:ascii="黑体" w:hAnsi="黑体" w:eastAsia="黑体" w:cs="黑体"/>
          <w:sz w:val="36"/>
          <w:szCs w:val="36"/>
        </w:rPr>
        <w:t>目　　录</w:t>
      </w:r>
    </w:p>
    <w:p>
      <w:pPr>
        <w:widowControl/>
        <w:jc w:val="left"/>
        <w:rPr>
          <w:sz w:val="32"/>
          <w:szCs w:val="32"/>
        </w:rPr>
      </w:pPr>
      <w:r>
        <w:rPr>
          <w:rFonts w:ascii="黑体" w:hAnsi="宋体" w:eastAsia="黑体" w:cs="黑体"/>
          <w:color w:val="000000"/>
          <w:kern w:val="0"/>
          <w:sz w:val="32"/>
          <w:szCs w:val="32"/>
          <w:lang w:bidi="ar"/>
        </w:rPr>
        <w:t xml:space="preserve">第一部分 </w:t>
      </w:r>
      <w:r>
        <w:rPr>
          <w:rFonts w:hint="eastAsia" w:ascii="黑体" w:hAnsi="宋体" w:eastAsia="黑体" w:cs="黑体"/>
          <w:color w:val="000000"/>
          <w:kern w:val="0"/>
          <w:sz w:val="32"/>
          <w:szCs w:val="32"/>
          <w:lang w:bidi="ar"/>
        </w:rPr>
        <w:t xml:space="preserve">开封市人民医院概况 </w:t>
      </w:r>
    </w:p>
    <w:p>
      <w:pPr>
        <w:widowControl/>
        <w:ind w:firstLine="640" w:firstLineChars="200"/>
        <w:jc w:val="left"/>
        <w:rPr>
          <w:sz w:val="32"/>
          <w:szCs w:val="32"/>
        </w:rPr>
      </w:pPr>
      <w:r>
        <w:rPr>
          <w:rFonts w:hint="eastAsia" w:ascii="宋体" w:hAnsi="宋体" w:cs="宋体"/>
          <w:color w:val="000000"/>
          <w:kern w:val="0"/>
          <w:sz w:val="32"/>
          <w:szCs w:val="32"/>
          <w:lang w:bidi="ar"/>
        </w:rPr>
        <w:t xml:space="preserve">一、部门职责 </w:t>
      </w:r>
    </w:p>
    <w:p>
      <w:pPr>
        <w:widowControl/>
        <w:ind w:firstLine="640" w:firstLineChars="200"/>
        <w:jc w:val="left"/>
        <w:rPr>
          <w:sz w:val="32"/>
          <w:szCs w:val="32"/>
        </w:rPr>
      </w:pPr>
      <w:r>
        <w:rPr>
          <w:rFonts w:hint="eastAsia" w:ascii="宋体" w:hAnsi="宋体" w:cs="宋体"/>
          <w:color w:val="000000"/>
          <w:kern w:val="0"/>
          <w:sz w:val="32"/>
          <w:szCs w:val="32"/>
          <w:lang w:bidi="ar"/>
        </w:rPr>
        <w:t xml:space="preserve">二、机构设置 </w:t>
      </w:r>
    </w:p>
    <w:p>
      <w:pPr>
        <w:jc w:val="left"/>
        <w:rPr>
          <w:rFonts w:ascii="黑体" w:hAnsi="黑体" w:eastAsia="黑体" w:cs="黑体"/>
          <w:sz w:val="32"/>
          <w:szCs w:val="32"/>
        </w:rPr>
      </w:pPr>
      <w:r>
        <w:rPr>
          <w:rFonts w:hint="eastAsia" w:ascii="黑体" w:hAnsi="黑体" w:eastAsia="黑体" w:cs="黑体"/>
          <w:sz w:val="32"/>
          <w:szCs w:val="32"/>
        </w:rPr>
        <w:t>第二部分  20</w:t>
      </w:r>
      <w:r>
        <w:rPr>
          <w:rFonts w:ascii="黑体" w:hAnsi="黑体" w:eastAsia="黑体" w:cs="黑体"/>
          <w:sz w:val="32"/>
          <w:szCs w:val="32"/>
        </w:rPr>
        <w:t>2</w:t>
      </w:r>
      <w:r>
        <w:rPr>
          <w:rFonts w:hint="eastAsia" w:ascii="黑体" w:hAnsi="黑体" w:eastAsia="黑体" w:cs="黑体"/>
          <w:sz w:val="32"/>
          <w:szCs w:val="32"/>
        </w:rPr>
        <w:t>1年度部门决算表</w:t>
      </w:r>
    </w:p>
    <w:p>
      <w:pPr>
        <w:ind w:firstLine="640" w:firstLineChars="200"/>
        <w:jc w:val="left"/>
        <w:rPr>
          <w:rFonts w:ascii="宋体" w:hAnsi="宋体" w:cs="黑体"/>
          <w:sz w:val="32"/>
          <w:szCs w:val="32"/>
        </w:rPr>
      </w:pPr>
      <w:r>
        <w:rPr>
          <w:rFonts w:hint="eastAsia" w:ascii="宋体" w:hAnsi="宋体" w:cs="黑体"/>
          <w:sz w:val="32"/>
          <w:szCs w:val="32"/>
        </w:rPr>
        <w:t>一、收入支出决算总表</w:t>
      </w:r>
    </w:p>
    <w:p>
      <w:pPr>
        <w:ind w:firstLine="640" w:firstLineChars="200"/>
        <w:jc w:val="left"/>
        <w:rPr>
          <w:rFonts w:ascii="宋体" w:hAnsi="宋体" w:cs="黑体"/>
          <w:sz w:val="32"/>
          <w:szCs w:val="32"/>
        </w:rPr>
      </w:pPr>
      <w:r>
        <w:rPr>
          <w:rFonts w:hint="eastAsia" w:ascii="宋体" w:hAnsi="宋体" w:cs="黑体"/>
          <w:sz w:val="32"/>
          <w:szCs w:val="32"/>
        </w:rPr>
        <w:t>二、收入决算表</w:t>
      </w:r>
    </w:p>
    <w:p>
      <w:pPr>
        <w:ind w:firstLine="640" w:firstLineChars="200"/>
        <w:jc w:val="left"/>
        <w:rPr>
          <w:rFonts w:ascii="宋体" w:hAnsi="宋体" w:cs="黑体"/>
          <w:sz w:val="32"/>
          <w:szCs w:val="32"/>
        </w:rPr>
      </w:pPr>
      <w:r>
        <w:rPr>
          <w:rFonts w:hint="eastAsia" w:ascii="宋体" w:hAnsi="宋体" w:cs="黑体"/>
          <w:sz w:val="32"/>
          <w:szCs w:val="32"/>
        </w:rPr>
        <w:t>三、支出决算表</w:t>
      </w:r>
    </w:p>
    <w:p>
      <w:pPr>
        <w:ind w:firstLine="640" w:firstLineChars="200"/>
        <w:jc w:val="left"/>
        <w:rPr>
          <w:rFonts w:ascii="宋体" w:hAnsi="宋体" w:cs="黑体"/>
          <w:sz w:val="32"/>
          <w:szCs w:val="32"/>
        </w:rPr>
      </w:pPr>
      <w:r>
        <w:rPr>
          <w:rFonts w:hint="eastAsia" w:ascii="宋体" w:hAnsi="宋体" w:cs="黑体"/>
          <w:sz w:val="32"/>
          <w:szCs w:val="32"/>
        </w:rPr>
        <w:t>四、财政拨款收入支出决算总表</w:t>
      </w:r>
    </w:p>
    <w:p>
      <w:pPr>
        <w:ind w:firstLine="640" w:firstLineChars="200"/>
        <w:jc w:val="left"/>
        <w:rPr>
          <w:rFonts w:ascii="宋体" w:hAnsi="宋体" w:cs="黑体"/>
          <w:sz w:val="32"/>
          <w:szCs w:val="32"/>
        </w:rPr>
      </w:pPr>
      <w:r>
        <w:rPr>
          <w:rFonts w:hint="eastAsia" w:ascii="宋体" w:hAnsi="宋体" w:cs="黑体"/>
          <w:sz w:val="32"/>
          <w:szCs w:val="32"/>
        </w:rPr>
        <w:t>五、一般公共预算财政拨款支出决算表</w:t>
      </w:r>
    </w:p>
    <w:p>
      <w:pPr>
        <w:ind w:firstLine="640" w:firstLineChars="200"/>
        <w:jc w:val="left"/>
        <w:rPr>
          <w:rFonts w:ascii="宋体" w:hAnsi="宋体" w:cs="黑体"/>
          <w:sz w:val="32"/>
          <w:szCs w:val="32"/>
        </w:rPr>
      </w:pPr>
      <w:r>
        <w:rPr>
          <w:rFonts w:hint="eastAsia" w:ascii="宋体" w:hAnsi="宋体" w:cs="黑体"/>
          <w:sz w:val="32"/>
          <w:szCs w:val="32"/>
        </w:rPr>
        <w:t>六、一般公共预算财政拨款基本支出决算表</w:t>
      </w:r>
    </w:p>
    <w:p>
      <w:pPr>
        <w:ind w:firstLine="640" w:firstLineChars="200"/>
        <w:jc w:val="left"/>
        <w:rPr>
          <w:rFonts w:ascii="宋体" w:hAnsi="宋体" w:cs="黑体"/>
          <w:sz w:val="32"/>
          <w:szCs w:val="32"/>
        </w:rPr>
      </w:pPr>
      <w:r>
        <w:rPr>
          <w:rFonts w:hint="eastAsia" w:ascii="宋体" w:hAnsi="宋体" w:cs="黑体"/>
          <w:sz w:val="32"/>
          <w:szCs w:val="32"/>
        </w:rPr>
        <w:t>七、一般公共预算财政拨款“三公”经费支出决算表</w:t>
      </w:r>
    </w:p>
    <w:p>
      <w:pPr>
        <w:ind w:firstLine="640" w:firstLineChars="200"/>
        <w:jc w:val="left"/>
        <w:rPr>
          <w:rFonts w:ascii="宋体" w:hAnsi="宋体" w:cs="黑体"/>
          <w:sz w:val="32"/>
          <w:szCs w:val="32"/>
        </w:rPr>
      </w:pPr>
      <w:r>
        <w:rPr>
          <w:rFonts w:hint="eastAsia" w:ascii="宋体" w:hAnsi="宋体" w:cs="黑体"/>
          <w:sz w:val="32"/>
          <w:szCs w:val="32"/>
        </w:rPr>
        <w:t>八、政府性基金预算财政拨款收入支出决算表</w:t>
      </w:r>
    </w:p>
    <w:p>
      <w:pPr>
        <w:jc w:val="left"/>
        <w:rPr>
          <w:rFonts w:ascii="黑体" w:hAnsi="黑体" w:eastAsia="黑体" w:cs="黑体"/>
          <w:sz w:val="32"/>
          <w:szCs w:val="32"/>
        </w:rPr>
      </w:pPr>
      <w:r>
        <w:rPr>
          <w:rFonts w:hint="eastAsia" w:ascii="黑体" w:hAnsi="黑体" w:eastAsia="黑体" w:cs="黑体"/>
          <w:sz w:val="32"/>
          <w:szCs w:val="32"/>
        </w:rPr>
        <w:t>第三部分　</w:t>
      </w:r>
      <w:r>
        <w:rPr>
          <w:rFonts w:ascii="黑体" w:hAnsi="黑体" w:eastAsia="黑体" w:cs="黑体"/>
          <w:sz w:val="32"/>
          <w:szCs w:val="32"/>
        </w:rPr>
        <w:t>202</w:t>
      </w:r>
      <w:r>
        <w:rPr>
          <w:rFonts w:hint="eastAsia" w:ascii="黑体" w:hAnsi="黑体" w:eastAsia="黑体" w:cs="黑体"/>
          <w:sz w:val="32"/>
          <w:szCs w:val="32"/>
        </w:rPr>
        <w:t>1年度</w:t>
      </w:r>
      <w:r>
        <w:rPr>
          <w:rFonts w:ascii="黑体" w:hAnsi="黑体" w:eastAsia="黑体" w:cs="黑体"/>
          <w:sz w:val="32"/>
          <w:szCs w:val="32"/>
        </w:rPr>
        <w:t>部门</w:t>
      </w:r>
      <w:r>
        <w:rPr>
          <w:rFonts w:hint="eastAsia" w:ascii="黑体" w:hAnsi="黑体" w:eastAsia="黑体" w:cs="黑体"/>
          <w:sz w:val="32"/>
          <w:szCs w:val="32"/>
        </w:rPr>
        <w:t>决算情况说明</w:t>
      </w:r>
    </w:p>
    <w:p>
      <w:pPr>
        <w:ind w:firstLine="640" w:firstLineChars="200"/>
        <w:jc w:val="left"/>
        <w:rPr>
          <w:rFonts w:ascii="宋体" w:hAnsi="宋体" w:cs="宋体"/>
          <w:sz w:val="32"/>
          <w:szCs w:val="32"/>
        </w:rPr>
      </w:pPr>
      <w:r>
        <w:rPr>
          <w:rFonts w:hint="eastAsia" w:ascii="宋体" w:hAnsi="宋体" w:cs="宋体"/>
          <w:sz w:val="32"/>
          <w:szCs w:val="32"/>
        </w:rPr>
        <w:t>一、收入支出决算总体情况说明</w:t>
      </w:r>
    </w:p>
    <w:p>
      <w:pPr>
        <w:ind w:firstLine="640" w:firstLineChars="200"/>
        <w:jc w:val="left"/>
        <w:rPr>
          <w:rFonts w:ascii="宋体" w:hAnsi="宋体" w:cs="宋体"/>
          <w:sz w:val="32"/>
          <w:szCs w:val="32"/>
        </w:rPr>
      </w:pPr>
      <w:r>
        <w:rPr>
          <w:rFonts w:hint="eastAsia" w:ascii="宋体" w:hAnsi="宋体" w:cs="宋体"/>
          <w:sz w:val="32"/>
          <w:szCs w:val="32"/>
        </w:rPr>
        <w:t>二、收入决算情况说明</w:t>
      </w:r>
    </w:p>
    <w:p>
      <w:pPr>
        <w:ind w:firstLine="640" w:firstLineChars="200"/>
        <w:jc w:val="left"/>
        <w:rPr>
          <w:rFonts w:ascii="宋体" w:hAnsi="宋体" w:cs="宋体"/>
          <w:sz w:val="32"/>
          <w:szCs w:val="32"/>
        </w:rPr>
      </w:pPr>
      <w:r>
        <w:rPr>
          <w:rFonts w:hint="eastAsia" w:ascii="宋体" w:hAnsi="宋体" w:cs="宋体"/>
          <w:sz w:val="32"/>
          <w:szCs w:val="32"/>
        </w:rPr>
        <w:t>三、支出决算情况说明</w:t>
      </w:r>
    </w:p>
    <w:p>
      <w:pPr>
        <w:ind w:firstLine="640" w:firstLineChars="200"/>
        <w:jc w:val="left"/>
        <w:rPr>
          <w:rFonts w:ascii="宋体" w:hAnsi="宋体" w:cs="宋体"/>
          <w:sz w:val="32"/>
          <w:szCs w:val="32"/>
        </w:rPr>
      </w:pPr>
      <w:r>
        <w:rPr>
          <w:rFonts w:hint="eastAsia" w:ascii="宋体" w:hAnsi="宋体" w:cs="宋体"/>
          <w:sz w:val="32"/>
          <w:szCs w:val="32"/>
        </w:rPr>
        <w:t>四、财政拨款收入支出决算总体情况说明</w:t>
      </w:r>
    </w:p>
    <w:p>
      <w:pPr>
        <w:ind w:firstLine="640" w:firstLineChars="200"/>
        <w:jc w:val="left"/>
        <w:rPr>
          <w:rFonts w:ascii="宋体" w:hAnsi="宋体" w:cs="宋体"/>
          <w:sz w:val="32"/>
          <w:szCs w:val="32"/>
        </w:rPr>
      </w:pPr>
      <w:r>
        <w:rPr>
          <w:rFonts w:hint="eastAsia" w:ascii="宋体" w:hAnsi="宋体" w:cs="宋体"/>
          <w:sz w:val="32"/>
          <w:szCs w:val="32"/>
        </w:rPr>
        <w:t>五、一般公共预算财政拨款支出决算情况说明</w:t>
      </w:r>
    </w:p>
    <w:p>
      <w:pPr>
        <w:ind w:firstLine="640" w:firstLineChars="200"/>
        <w:jc w:val="left"/>
        <w:rPr>
          <w:rFonts w:ascii="宋体" w:hAnsi="宋体" w:cs="宋体"/>
          <w:sz w:val="32"/>
          <w:szCs w:val="32"/>
        </w:rPr>
      </w:pPr>
      <w:r>
        <w:rPr>
          <w:rFonts w:hint="eastAsia" w:ascii="宋体" w:hAnsi="宋体" w:cs="宋体"/>
          <w:sz w:val="32"/>
          <w:szCs w:val="32"/>
        </w:rPr>
        <w:t>六、一般公共预算财政拨款基本支出决算情况说明</w:t>
      </w:r>
    </w:p>
    <w:p>
      <w:pPr>
        <w:ind w:firstLine="640" w:firstLineChars="200"/>
        <w:jc w:val="left"/>
        <w:rPr>
          <w:rFonts w:ascii="宋体" w:hAnsi="宋体" w:cs="宋体"/>
          <w:sz w:val="32"/>
          <w:szCs w:val="32"/>
        </w:rPr>
      </w:pPr>
      <w:r>
        <w:rPr>
          <w:rFonts w:hint="eastAsia" w:ascii="宋体" w:hAnsi="宋体" w:cs="宋体"/>
          <w:sz w:val="32"/>
          <w:szCs w:val="32"/>
        </w:rPr>
        <w:t>七、一般公共预算财政拨款“三公”经费支出决算情况说明</w:t>
      </w:r>
    </w:p>
    <w:p>
      <w:pPr>
        <w:ind w:firstLine="640" w:firstLineChars="200"/>
        <w:jc w:val="left"/>
        <w:rPr>
          <w:rFonts w:ascii="宋体" w:hAnsi="宋体" w:cs="宋体"/>
          <w:sz w:val="32"/>
          <w:szCs w:val="32"/>
        </w:rPr>
      </w:pPr>
      <w:r>
        <w:rPr>
          <w:rFonts w:hint="eastAsia" w:ascii="宋体" w:hAnsi="宋体" w:cs="宋体"/>
          <w:sz w:val="32"/>
          <w:szCs w:val="32"/>
        </w:rPr>
        <w:t>八、预算绩效情况说明</w:t>
      </w:r>
    </w:p>
    <w:p>
      <w:pPr>
        <w:ind w:firstLine="640" w:firstLineChars="200"/>
        <w:jc w:val="left"/>
        <w:rPr>
          <w:rFonts w:ascii="宋体" w:hAnsi="宋体" w:cs="宋体"/>
          <w:sz w:val="32"/>
          <w:szCs w:val="32"/>
        </w:rPr>
      </w:pPr>
      <w:r>
        <w:rPr>
          <w:rFonts w:hint="eastAsia" w:ascii="宋体" w:hAnsi="宋体" w:cs="宋体"/>
          <w:sz w:val="32"/>
          <w:szCs w:val="32"/>
        </w:rPr>
        <w:t>九、政府性基金预算财政拨款支出决算情况说明</w:t>
      </w:r>
    </w:p>
    <w:p>
      <w:pPr>
        <w:ind w:firstLine="640" w:firstLineChars="200"/>
        <w:jc w:val="left"/>
        <w:rPr>
          <w:rFonts w:ascii="宋体" w:hAnsi="宋体" w:cs="宋体"/>
          <w:sz w:val="32"/>
          <w:szCs w:val="32"/>
        </w:rPr>
      </w:pPr>
      <w:r>
        <w:rPr>
          <w:rFonts w:hint="eastAsia" w:ascii="宋体" w:hAnsi="宋体" w:cs="宋体"/>
          <w:sz w:val="32"/>
          <w:szCs w:val="32"/>
        </w:rPr>
        <w:t>十、机关运行经费支出情况说明</w:t>
      </w:r>
    </w:p>
    <w:p>
      <w:pPr>
        <w:ind w:firstLine="640" w:firstLineChars="200"/>
        <w:jc w:val="left"/>
        <w:rPr>
          <w:rFonts w:ascii="宋体" w:hAnsi="宋体" w:cs="宋体"/>
          <w:sz w:val="32"/>
          <w:szCs w:val="32"/>
        </w:rPr>
      </w:pPr>
      <w:r>
        <w:rPr>
          <w:rFonts w:hint="eastAsia" w:ascii="宋体" w:hAnsi="宋体" w:cs="宋体"/>
          <w:sz w:val="32"/>
          <w:szCs w:val="32"/>
        </w:rPr>
        <w:t>十一、政府采购支出情况说明</w:t>
      </w:r>
    </w:p>
    <w:p>
      <w:pPr>
        <w:ind w:firstLine="640" w:firstLineChars="200"/>
        <w:jc w:val="left"/>
        <w:rPr>
          <w:rFonts w:ascii="宋体" w:hAnsi="宋体" w:cs="宋体"/>
          <w:sz w:val="32"/>
          <w:szCs w:val="32"/>
        </w:rPr>
      </w:pPr>
      <w:r>
        <w:rPr>
          <w:rFonts w:hint="eastAsia" w:ascii="宋体" w:hAnsi="宋体" w:cs="宋体"/>
          <w:sz w:val="32"/>
          <w:szCs w:val="32"/>
        </w:rPr>
        <w:t>十二、国有资产占用情况说明</w:t>
      </w:r>
    </w:p>
    <w:p>
      <w:pPr>
        <w:jc w:val="left"/>
        <w:rPr>
          <w:rFonts w:ascii="黑体" w:hAnsi="黑体" w:eastAsia="黑体" w:cs="黑体"/>
          <w:sz w:val="32"/>
          <w:szCs w:val="32"/>
        </w:rPr>
      </w:pPr>
      <w:r>
        <w:rPr>
          <w:rFonts w:hint="eastAsia" w:ascii="黑体" w:hAnsi="黑体" w:eastAsia="黑体" w:cs="黑体"/>
          <w:sz w:val="32"/>
          <w:szCs w:val="32"/>
        </w:rPr>
        <w:t>第四部分　　名词解释</w:t>
      </w: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center"/>
        <w:outlineLvl w:val="0"/>
        <w:rPr>
          <w:rFonts w:ascii="黑体" w:hAnsi="宋体" w:eastAsia="黑体" w:cs="宋体"/>
          <w:kern w:val="0"/>
          <w:sz w:val="28"/>
          <w:szCs w:val="28"/>
        </w:rPr>
      </w:pPr>
      <w:r>
        <w:rPr>
          <w:rFonts w:hint="eastAsia" w:ascii="黑体" w:hAnsi="黑体" w:eastAsia="黑体" w:cs="黑体"/>
          <w:sz w:val="48"/>
          <w:szCs w:val="48"/>
        </w:rPr>
        <w:t>第一部分  开封市人民医院概况</w:t>
      </w:r>
    </w:p>
    <w:p>
      <w:pPr>
        <w:widowControl/>
        <w:ind w:firstLine="640" w:firstLineChars="200"/>
        <w:jc w:val="left"/>
        <w:outlineLvl w:val="1"/>
        <w:rPr>
          <w:rFonts w:ascii="黑体" w:hAnsi="黑体" w:eastAsia="黑体" w:cs="黑体"/>
          <w:kern w:val="0"/>
          <w:sz w:val="32"/>
          <w:szCs w:val="32"/>
        </w:rPr>
      </w:pPr>
    </w:p>
    <w:p>
      <w:pPr>
        <w:adjustRightInd w:val="0"/>
        <w:snapToGrid w:val="0"/>
        <w:spacing w:line="360" w:lineRule="auto"/>
        <w:ind w:firstLine="640" w:firstLineChars="200"/>
        <w:rPr>
          <w:rFonts w:ascii="黑体" w:hAnsi="黑体" w:eastAsia="黑体"/>
          <w:sz w:val="32"/>
          <w:szCs w:val="32"/>
        </w:rPr>
      </w:pPr>
      <w:r>
        <w:rPr>
          <w:rFonts w:hint="eastAsia" w:ascii="黑体" w:hAnsi="黑体" w:eastAsia="黑体"/>
          <w:sz w:val="32"/>
          <w:szCs w:val="32"/>
        </w:rPr>
        <w:t>一、</w:t>
      </w:r>
      <w:r>
        <w:rPr>
          <w:rFonts w:hint="eastAsia" w:ascii="黑体" w:eastAsia="黑体" w:cs="黑体"/>
          <w:sz w:val="32"/>
          <w:szCs w:val="32"/>
          <w:lang w:val="en-US" w:eastAsia="zh-CN"/>
        </w:rPr>
        <w:t>部门</w:t>
      </w:r>
      <w:r>
        <w:rPr>
          <w:rFonts w:hint="eastAsia" w:ascii="黑体" w:hAnsi="黑体" w:eastAsia="黑体"/>
          <w:sz w:val="32"/>
          <w:szCs w:val="32"/>
        </w:rPr>
        <w:t>职责</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开封市人民医院是开封市人民政府举办的大型公立三级综合性医院，承担着全市人民的医疗、预防、康复、保健任务。</w:t>
      </w:r>
    </w:p>
    <w:p>
      <w:pPr>
        <w:adjustRightInd w:val="0"/>
        <w:snapToGrid w:val="0"/>
        <w:spacing w:line="360" w:lineRule="auto"/>
        <w:ind w:firstLine="640" w:firstLineChars="200"/>
        <w:rPr>
          <w:rFonts w:hint="eastAsia" w:ascii="黑体" w:eastAsia="黑体" w:cs="黑体"/>
          <w:sz w:val="32"/>
          <w:szCs w:val="32"/>
          <w:lang w:val="en-US" w:eastAsia="zh-CN"/>
        </w:rPr>
      </w:pPr>
      <w:r>
        <w:rPr>
          <w:rFonts w:hint="eastAsia" w:ascii="黑体" w:eastAsia="黑体" w:cs="黑体"/>
          <w:sz w:val="32"/>
          <w:szCs w:val="32"/>
          <w:lang w:val="en-US" w:eastAsia="zh-CN"/>
        </w:rPr>
        <w:t>二、机构设置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医院建设有门类齐全的专业体系，皮肤科、骨科是河南省医学重点培育专科，急诊医学科、重症医学科、心血管内科、神经内科和肾病风湿科是开封市医学重点专科，中医科是河南省中医重点专科。开封市人民医院开设两个院区，总占地面积80亩，其中东部院区位于顺河回族区汴京大道东段，建筑面积约5万平方米，开放床位1080张。西部院区位于城乡一体化示范区西环路中段，建筑面积约5000平方米，开放床位130张。东部院区设置有40个门诊科室、35个临床科室、12个医技科室和1个A级急救站。西部院区设置有12个门诊科室、8个病区和1个B级急救站。</w:t>
      </w:r>
    </w:p>
    <w:p>
      <w:pPr>
        <w:kinsoku w:val="0"/>
        <w:overflowPunct w:val="0"/>
        <w:autoSpaceDE w:val="0"/>
        <w:autoSpaceDN w:val="0"/>
        <w:adjustRightInd w:val="0"/>
        <w:snapToGrid w:val="0"/>
        <w:spacing w:line="360" w:lineRule="auto"/>
        <w:ind w:right="118" w:firstLine="648" w:firstLineChars="200"/>
        <w:jc w:val="left"/>
        <w:rPr>
          <w:rFonts w:ascii="仿宋_GB2312" w:eastAsia="仿宋_GB2312" w:cs="仿宋_GB2312"/>
          <w:spacing w:val="-1"/>
          <w:kern w:val="0"/>
          <w:sz w:val="32"/>
          <w:szCs w:val="32"/>
        </w:rPr>
      </w:pPr>
      <w:r>
        <w:rPr>
          <w:rFonts w:hint="eastAsia" w:ascii="仿宋_GB2312" w:eastAsia="仿宋_GB2312" w:cs="仿宋_GB2312"/>
          <w:spacing w:val="2"/>
          <w:kern w:val="0"/>
          <w:sz w:val="32"/>
          <w:szCs w:val="32"/>
          <w:lang w:eastAsia="zh-CN"/>
        </w:rPr>
        <w:t>（</w:t>
      </w:r>
      <w:r>
        <w:rPr>
          <w:rFonts w:hint="eastAsia" w:ascii="仿宋_GB2312" w:eastAsia="仿宋_GB2312" w:cs="仿宋_GB2312"/>
          <w:spacing w:val="2"/>
          <w:kern w:val="0"/>
          <w:sz w:val="32"/>
          <w:szCs w:val="32"/>
          <w:lang w:val="en-US" w:eastAsia="zh-CN"/>
        </w:rPr>
        <w:t>二</w:t>
      </w:r>
      <w:r>
        <w:rPr>
          <w:rFonts w:hint="eastAsia" w:ascii="仿宋_GB2312" w:eastAsia="仿宋_GB2312" w:cs="仿宋_GB2312"/>
          <w:spacing w:val="2"/>
          <w:kern w:val="0"/>
          <w:sz w:val="32"/>
          <w:szCs w:val="32"/>
          <w:lang w:eastAsia="zh-CN"/>
        </w:rPr>
        <w:t>）</w:t>
      </w:r>
      <w:r>
        <w:rPr>
          <w:rFonts w:hint="eastAsia" w:ascii="仿宋_GB2312" w:eastAsia="仿宋_GB2312" w:cs="仿宋_GB2312"/>
          <w:spacing w:val="2"/>
          <w:kern w:val="0"/>
          <w:sz w:val="32"/>
          <w:szCs w:val="32"/>
        </w:rPr>
        <w:t>开封市人民医院预算等级为地（市）级</w:t>
      </w:r>
      <w:r>
        <w:rPr>
          <w:rFonts w:hint="eastAsia" w:ascii="仿宋_GB2312" w:eastAsia="仿宋_GB2312" w:cs="仿宋_GB2312"/>
          <w:spacing w:val="-1"/>
          <w:kern w:val="0"/>
          <w:sz w:val="32"/>
          <w:szCs w:val="32"/>
        </w:rPr>
        <w:t>。</w:t>
      </w: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jc w:val="center"/>
        <w:outlineLvl w:val="0"/>
        <w:rPr>
          <w:rFonts w:ascii="黑体" w:hAnsi="黑体" w:eastAsia="黑体" w:cs="黑体"/>
          <w:sz w:val="48"/>
          <w:szCs w:val="48"/>
        </w:rPr>
      </w:pPr>
    </w:p>
    <w:p>
      <w:pPr>
        <w:outlineLvl w:val="0"/>
        <w:rPr>
          <w:rFonts w:ascii="黑体" w:hAnsi="黑体" w:eastAsia="黑体" w:cs="黑体"/>
          <w:sz w:val="48"/>
          <w:szCs w:val="48"/>
        </w:rPr>
      </w:pPr>
    </w:p>
    <w:p>
      <w:pPr>
        <w:jc w:val="center"/>
        <w:outlineLvl w:val="0"/>
        <w:rPr>
          <w:rFonts w:ascii="黑体" w:hAnsi="黑体" w:eastAsia="黑体" w:cs="黑体"/>
          <w:sz w:val="48"/>
          <w:szCs w:val="48"/>
        </w:rPr>
      </w:pPr>
      <w:r>
        <w:rPr>
          <w:rFonts w:hint="eastAsia" w:ascii="黑体" w:hAnsi="黑体" w:eastAsia="黑体" w:cs="黑体"/>
          <w:sz w:val="48"/>
          <w:szCs w:val="48"/>
        </w:rPr>
        <w:t>第二部分  20</w:t>
      </w:r>
      <w:r>
        <w:rPr>
          <w:rFonts w:ascii="黑体" w:hAnsi="黑体" w:eastAsia="黑体" w:cs="黑体"/>
          <w:sz w:val="48"/>
          <w:szCs w:val="48"/>
        </w:rPr>
        <w:t>2</w:t>
      </w:r>
      <w:r>
        <w:rPr>
          <w:rFonts w:hint="eastAsia" w:ascii="黑体" w:hAnsi="黑体" w:eastAsia="黑体" w:cs="黑体"/>
          <w:sz w:val="48"/>
          <w:szCs w:val="48"/>
        </w:rPr>
        <w:t>1年度部门决算表</w:t>
      </w: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sectPr>
          <w:footerReference r:id="rId3" w:type="default"/>
          <w:footerReference r:id="rId4" w:type="even"/>
          <w:pgSz w:w="11906" w:h="16838"/>
          <w:pgMar w:top="1440" w:right="1800" w:bottom="1440" w:left="1800" w:header="720" w:footer="720" w:gutter="0"/>
          <w:pgNumType w:fmt="numberInDash"/>
          <w:cols w:space="720" w:num="1"/>
          <w:docGrid w:type="lines" w:linePitch="312" w:charSpace="0"/>
        </w:sectPr>
      </w:pPr>
    </w:p>
    <w:tbl>
      <w:tblPr>
        <w:tblStyle w:val="5"/>
        <w:tblW w:w="5000" w:type="pct"/>
        <w:tblInd w:w="0" w:type="dxa"/>
        <w:tblLayout w:type="autofit"/>
        <w:tblCellMar>
          <w:top w:w="0" w:type="dxa"/>
          <w:left w:w="108" w:type="dxa"/>
          <w:bottom w:w="0" w:type="dxa"/>
          <w:right w:w="108" w:type="dxa"/>
        </w:tblCellMar>
      </w:tblPr>
      <w:tblGrid>
        <w:gridCol w:w="3770"/>
        <w:gridCol w:w="1361"/>
        <w:gridCol w:w="1828"/>
        <w:gridCol w:w="4368"/>
        <w:gridCol w:w="814"/>
        <w:gridCol w:w="2033"/>
      </w:tblGrid>
      <w:tr>
        <w:tblPrEx>
          <w:tblCellMar>
            <w:top w:w="0" w:type="dxa"/>
            <w:left w:w="108" w:type="dxa"/>
            <w:bottom w:w="0" w:type="dxa"/>
            <w:right w:w="108" w:type="dxa"/>
          </w:tblCellMar>
        </w:tblPrEx>
        <w:trPr>
          <w:trHeight w:val="384" w:hRule="atLeast"/>
        </w:trPr>
        <w:tc>
          <w:tcPr>
            <w:tcW w:w="5000" w:type="pct"/>
            <w:gridSpan w:val="6"/>
            <w:tcBorders>
              <w:top w:val="nil"/>
              <w:left w:val="nil"/>
              <w:bottom w:val="nil"/>
              <w:right w:val="nil"/>
            </w:tcBorders>
            <w:shd w:val="clear" w:color="auto" w:fill="auto"/>
            <w:noWrap/>
            <w:vAlign w:val="bottom"/>
          </w:tcPr>
          <w:p>
            <w:pPr>
              <w:widowControl/>
              <w:jc w:val="center"/>
              <w:textAlignment w:val="bottom"/>
              <w:rPr>
                <w:rFonts w:ascii="宋体" w:hAnsi="宋体" w:cs="宋体"/>
                <w:color w:val="000000"/>
                <w:sz w:val="30"/>
                <w:szCs w:val="30"/>
              </w:rPr>
            </w:pPr>
            <w:r>
              <w:rPr>
                <w:rFonts w:hint="eastAsia" w:ascii="宋体" w:hAnsi="宋体" w:cs="宋体"/>
                <w:color w:val="000000"/>
                <w:kern w:val="0"/>
                <w:sz w:val="30"/>
                <w:szCs w:val="30"/>
                <w:lang w:bidi="ar"/>
              </w:rPr>
              <w:t>收入支出决算总表</w:t>
            </w:r>
          </w:p>
        </w:tc>
      </w:tr>
      <w:tr>
        <w:tblPrEx>
          <w:tblCellMar>
            <w:top w:w="0" w:type="dxa"/>
            <w:left w:w="108" w:type="dxa"/>
            <w:bottom w:w="0" w:type="dxa"/>
            <w:right w:w="108" w:type="dxa"/>
          </w:tblCellMar>
        </w:tblPrEx>
        <w:trPr>
          <w:trHeight w:val="264" w:hRule="atLeast"/>
        </w:trPr>
        <w:tc>
          <w:tcPr>
            <w:tcW w:w="1330"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80" w:type="pct"/>
            <w:tcBorders>
              <w:top w:val="nil"/>
              <w:left w:val="nil"/>
              <w:bottom w:val="nil"/>
              <w:right w:val="nil"/>
            </w:tcBorders>
            <w:shd w:val="clear" w:color="auto" w:fill="auto"/>
            <w:noWrap/>
            <w:vAlign w:val="bottom"/>
          </w:tcPr>
          <w:p/>
        </w:tc>
        <w:tc>
          <w:tcPr>
            <w:tcW w:w="644" w:type="pct"/>
            <w:tcBorders>
              <w:top w:val="nil"/>
              <w:left w:val="nil"/>
              <w:bottom w:val="nil"/>
              <w:right w:val="nil"/>
            </w:tcBorders>
            <w:shd w:val="clear" w:color="auto" w:fill="auto"/>
            <w:noWrap/>
            <w:vAlign w:val="bottom"/>
          </w:tcPr>
          <w:p/>
        </w:tc>
        <w:tc>
          <w:tcPr>
            <w:tcW w:w="1541" w:type="pct"/>
            <w:tcBorders>
              <w:top w:val="nil"/>
              <w:left w:val="nil"/>
              <w:bottom w:val="nil"/>
              <w:right w:val="nil"/>
            </w:tcBorders>
            <w:shd w:val="clear" w:color="auto" w:fill="auto"/>
            <w:noWrap/>
            <w:vAlign w:val="bottom"/>
          </w:tcPr>
          <w:p/>
        </w:tc>
        <w:tc>
          <w:tcPr>
            <w:tcW w:w="287" w:type="pct"/>
            <w:tcBorders>
              <w:top w:val="nil"/>
              <w:left w:val="nil"/>
              <w:bottom w:val="nil"/>
              <w:right w:val="nil"/>
            </w:tcBorders>
            <w:shd w:val="clear" w:color="auto" w:fill="auto"/>
            <w:noWrap/>
            <w:vAlign w:val="bottom"/>
          </w:tcPr>
          <w:p/>
        </w:tc>
        <w:tc>
          <w:tcPr>
            <w:tcW w:w="715" w:type="pct"/>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lang w:bidi="ar"/>
              </w:rPr>
              <w:t>公开01表</w:t>
            </w:r>
          </w:p>
        </w:tc>
      </w:tr>
      <w:tr>
        <w:tblPrEx>
          <w:tblCellMar>
            <w:top w:w="0" w:type="dxa"/>
            <w:left w:w="108" w:type="dxa"/>
            <w:bottom w:w="0" w:type="dxa"/>
            <w:right w:w="108" w:type="dxa"/>
          </w:tblCellMar>
        </w:tblPrEx>
        <w:trPr>
          <w:trHeight w:val="264" w:hRule="atLeast"/>
        </w:trPr>
        <w:tc>
          <w:tcPr>
            <w:tcW w:w="1330" w:type="pct"/>
            <w:tcBorders>
              <w:top w:val="nil"/>
              <w:left w:val="nil"/>
              <w:bottom w:val="nil"/>
              <w:right w:val="nil"/>
            </w:tcBorders>
            <w:shd w:val="clear" w:color="auto" w:fill="auto"/>
            <w:noWrap/>
            <w:vAlign w:val="bottom"/>
          </w:tcPr>
          <w:p>
            <w:pPr>
              <w:widowControl/>
              <w:jc w:val="left"/>
              <w:textAlignment w:val="bottom"/>
              <w:rPr>
                <w:rFonts w:ascii="宋体" w:hAnsi="宋体" w:cs="宋体"/>
                <w:color w:val="000000"/>
                <w:sz w:val="20"/>
                <w:szCs w:val="20"/>
              </w:rPr>
            </w:pPr>
            <w:r>
              <w:rPr>
                <w:rFonts w:hint="eastAsia" w:ascii="宋体" w:hAnsi="宋体" w:cs="宋体"/>
                <w:color w:val="000000"/>
                <w:kern w:val="0"/>
                <w:sz w:val="20"/>
                <w:szCs w:val="20"/>
                <w:lang w:bidi="ar"/>
              </w:rPr>
              <w:t>部门：开封市人民医院</w:t>
            </w:r>
          </w:p>
        </w:tc>
        <w:tc>
          <w:tcPr>
            <w:tcW w:w="480" w:type="pct"/>
            <w:tcBorders>
              <w:top w:val="nil"/>
              <w:left w:val="nil"/>
              <w:bottom w:val="nil"/>
              <w:right w:val="nil"/>
            </w:tcBorders>
            <w:shd w:val="clear" w:color="auto" w:fill="auto"/>
            <w:noWrap/>
            <w:vAlign w:val="bottom"/>
          </w:tcPr>
          <w:p/>
        </w:tc>
        <w:tc>
          <w:tcPr>
            <w:tcW w:w="644" w:type="pct"/>
            <w:tcBorders>
              <w:top w:val="nil"/>
              <w:left w:val="nil"/>
              <w:bottom w:val="nil"/>
              <w:right w:val="nil"/>
            </w:tcBorders>
            <w:shd w:val="clear" w:color="auto" w:fill="auto"/>
            <w:noWrap/>
            <w:vAlign w:val="bottom"/>
          </w:tcPr>
          <w:p/>
        </w:tc>
        <w:tc>
          <w:tcPr>
            <w:tcW w:w="1541" w:type="pct"/>
            <w:tcBorders>
              <w:top w:val="nil"/>
              <w:left w:val="nil"/>
              <w:bottom w:val="nil"/>
              <w:right w:val="nil"/>
            </w:tcBorders>
            <w:shd w:val="clear" w:color="auto" w:fill="auto"/>
            <w:noWrap/>
            <w:vAlign w:val="bottom"/>
          </w:tcPr>
          <w:p/>
        </w:tc>
        <w:tc>
          <w:tcPr>
            <w:tcW w:w="287" w:type="pct"/>
            <w:tcBorders>
              <w:top w:val="nil"/>
              <w:left w:val="nil"/>
              <w:bottom w:val="nil"/>
              <w:right w:val="nil"/>
            </w:tcBorders>
            <w:shd w:val="clear" w:color="auto" w:fill="auto"/>
            <w:noWrap/>
            <w:vAlign w:val="bottom"/>
          </w:tcPr>
          <w:p/>
        </w:tc>
        <w:tc>
          <w:tcPr>
            <w:tcW w:w="715" w:type="pct"/>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lang w:bidi="ar"/>
              </w:rPr>
              <w:t>金额单位：万元</w:t>
            </w:r>
          </w:p>
        </w:tc>
      </w:tr>
      <w:tr>
        <w:tblPrEx>
          <w:tblCellMar>
            <w:top w:w="0" w:type="dxa"/>
            <w:left w:w="108" w:type="dxa"/>
            <w:bottom w:w="0" w:type="dxa"/>
            <w:right w:w="108" w:type="dxa"/>
          </w:tblCellMar>
        </w:tblPrEx>
        <w:trPr>
          <w:trHeight w:val="308" w:hRule="atLeast"/>
        </w:trPr>
        <w:tc>
          <w:tcPr>
            <w:tcW w:w="2455"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收入</w:t>
            </w:r>
          </w:p>
        </w:tc>
        <w:tc>
          <w:tcPr>
            <w:tcW w:w="2544"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支出</w:t>
            </w: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项目</w:t>
            </w: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行次</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金额</w:t>
            </w: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项目</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行次</w:t>
            </w:r>
          </w:p>
        </w:tc>
        <w:tc>
          <w:tcPr>
            <w:tcW w:w="715"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金额</w:t>
            </w:r>
          </w:p>
        </w:tc>
      </w:tr>
      <w:tr>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栏次</w:t>
            </w: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jc w:val="center"/>
            </w:pP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1</w:t>
            </w: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栏次</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jc w:val="center"/>
            </w:pPr>
          </w:p>
        </w:tc>
        <w:tc>
          <w:tcPr>
            <w:tcW w:w="715"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w:t>
            </w: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一、一般公共预算财政拨款收入</w:t>
            </w: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1</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right"/>
              <w:textAlignment w:val="center"/>
            </w:pPr>
            <w:r>
              <w:rPr>
                <w:rFonts w:hint="eastAsia" w:ascii="宋体" w:hAnsi="宋体" w:cs="宋体"/>
                <w:color w:val="000000"/>
                <w:kern w:val="0"/>
                <w:sz w:val="22"/>
                <w:lang w:bidi="ar"/>
              </w:rPr>
              <w:t>2,185.53</w:t>
            </w: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一、一般公共服务支出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32</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二、政府性基金预算财政拨款收入</w:t>
            </w: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2</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二、外交支出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33</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三、国有资本经营预算财政拨款收入</w:t>
            </w: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3</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三、国防支出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34</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四、上级补助收入</w:t>
            </w: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4</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四、公共安全支出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35</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五、事业收入</w:t>
            </w: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5</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right"/>
              <w:textAlignment w:val="center"/>
            </w:pPr>
            <w:r>
              <w:rPr>
                <w:rFonts w:hint="eastAsia" w:ascii="宋体" w:hAnsi="宋体" w:cs="宋体"/>
                <w:color w:val="000000"/>
                <w:kern w:val="0"/>
                <w:sz w:val="22"/>
                <w:lang w:bidi="ar"/>
              </w:rPr>
              <w:t>49,519.20</w:t>
            </w: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五、教育支出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36</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六、经营收入</w:t>
            </w: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6</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六、科学技术支出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37</w:t>
            </w:r>
          </w:p>
        </w:tc>
        <w:tc>
          <w:tcPr>
            <w:tcW w:w="715" w:type="pct"/>
            <w:tcBorders>
              <w:top w:val="nil"/>
              <w:left w:val="nil"/>
              <w:bottom w:val="single" w:color="000000" w:sz="4" w:space="0"/>
              <w:right w:val="single" w:color="000000" w:sz="4" w:space="0"/>
            </w:tcBorders>
            <w:shd w:val="clear" w:color="FFFFFF" w:fill="C0C0C0"/>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0.83</w:t>
            </w:r>
          </w:p>
        </w:tc>
      </w:tr>
      <w:tr>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七、附属单位上缴收入</w:t>
            </w: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7</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七、文化旅游体育与传媒支出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38</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八、其他收入</w:t>
            </w: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8</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right"/>
              <w:textAlignment w:val="center"/>
            </w:pPr>
            <w:r>
              <w:rPr>
                <w:rFonts w:hint="eastAsia" w:ascii="宋体" w:hAnsi="宋体" w:cs="宋体"/>
                <w:color w:val="000000"/>
                <w:kern w:val="0"/>
                <w:sz w:val="22"/>
                <w:lang w:bidi="ar"/>
              </w:rPr>
              <w:t>26,515.96</w:t>
            </w: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八、社会保障和就业支出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39</w:t>
            </w:r>
          </w:p>
        </w:tc>
        <w:tc>
          <w:tcPr>
            <w:tcW w:w="715" w:type="pct"/>
            <w:tcBorders>
              <w:top w:val="nil"/>
              <w:left w:val="nil"/>
              <w:bottom w:val="single" w:color="000000" w:sz="4" w:space="0"/>
              <w:right w:val="single" w:color="000000" w:sz="4" w:space="0"/>
            </w:tcBorders>
            <w:shd w:val="clear" w:color="FFFFFF" w:fill="C0C0C0"/>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155.00</w:t>
            </w:r>
          </w:p>
        </w:tc>
      </w:tr>
      <w:tr>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9</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九、卫生健康支出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40</w:t>
            </w:r>
          </w:p>
        </w:tc>
        <w:tc>
          <w:tcPr>
            <w:tcW w:w="715" w:type="pct"/>
            <w:tcBorders>
              <w:top w:val="nil"/>
              <w:left w:val="nil"/>
              <w:bottom w:val="single" w:color="000000" w:sz="4" w:space="0"/>
              <w:right w:val="single" w:color="000000" w:sz="4" w:space="0"/>
            </w:tcBorders>
            <w:shd w:val="clear" w:color="FFFFFF" w:fill="C0C0C0"/>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81,408.11</w:t>
            </w: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10</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十、节能环保支出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41</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11</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十一、城乡社区支出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42</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12</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十二、农林水支出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43</w:t>
            </w:r>
          </w:p>
        </w:tc>
        <w:tc>
          <w:tcPr>
            <w:tcW w:w="715" w:type="pct"/>
            <w:tcBorders>
              <w:top w:val="nil"/>
              <w:left w:val="nil"/>
              <w:bottom w:val="single" w:color="000000" w:sz="4" w:space="0"/>
              <w:right w:val="single" w:color="000000" w:sz="4" w:space="0"/>
            </w:tcBorders>
            <w:shd w:val="clear" w:color="FFFFFF" w:fill="C0C0C0"/>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1.81</w:t>
            </w: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13</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十三、交通运输支出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44</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14</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十四、资源勘探工业信息等支出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45</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15</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十五、商业服务业等支出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46</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16</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十六、金融支出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47</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17</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十七、援助其他地区支出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48</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18</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十八、自然资源海洋气象等支出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49</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19</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十九、住房保障支出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50</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20</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二十、粮油物资储备支出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51</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21</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二十一、国有资本经营预算支出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52</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22</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二十二、灾害防治及应急管理支出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53</w:t>
            </w:r>
          </w:p>
        </w:tc>
        <w:tc>
          <w:tcPr>
            <w:tcW w:w="715" w:type="pct"/>
            <w:tcBorders>
              <w:top w:val="nil"/>
              <w:left w:val="nil"/>
              <w:bottom w:val="single" w:color="000000" w:sz="4" w:space="0"/>
              <w:right w:val="single" w:color="000000" w:sz="4" w:space="0"/>
            </w:tcBorders>
            <w:shd w:val="clear" w:color="FFFFFF" w:fill="C0C0C0"/>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23</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二十三、其他支出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54</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cs="宋体"/>
                <w:b/>
                <w:bCs/>
                <w:color w:val="000000"/>
                <w:sz w:val="20"/>
                <w:szCs w:val="20"/>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0"/>
                <w:szCs w:val="20"/>
                <w:lang w:bidi="ar"/>
              </w:rPr>
              <w:t>24</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二十四、债务还本支出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55</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0"/>
                <w:szCs w:val="20"/>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0"/>
                <w:szCs w:val="20"/>
                <w:lang w:bidi="ar"/>
              </w:rPr>
              <w:t>25</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二十五、债务付息支出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56</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0"/>
                <w:szCs w:val="20"/>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0"/>
                <w:szCs w:val="20"/>
                <w:lang w:bidi="ar"/>
              </w:rPr>
              <w:t>26</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二十六、抗疫特别国债安排的支出</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57</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b/>
                <w:bCs/>
                <w:color w:val="000000"/>
                <w:sz w:val="22"/>
              </w:rPr>
            </w:pPr>
            <w:r>
              <w:rPr>
                <w:rFonts w:hint="eastAsia" w:ascii="宋体" w:hAnsi="宋体" w:cs="宋体"/>
                <w:b/>
                <w:bCs/>
                <w:color w:val="000000"/>
                <w:kern w:val="0"/>
                <w:sz w:val="22"/>
                <w:lang w:bidi="ar"/>
              </w:rPr>
              <w:t>本年收入合计</w:t>
            </w: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27</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right"/>
              <w:textAlignment w:val="center"/>
            </w:pPr>
            <w:r>
              <w:rPr>
                <w:rFonts w:hint="eastAsia" w:ascii="宋体" w:hAnsi="宋体" w:cs="宋体"/>
                <w:color w:val="000000"/>
                <w:kern w:val="0"/>
                <w:sz w:val="22"/>
                <w:lang w:bidi="ar"/>
              </w:rPr>
              <w:t>78,220.70</w:t>
            </w: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b/>
                <w:bCs/>
                <w:color w:val="000000"/>
                <w:kern w:val="0"/>
                <w:sz w:val="22"/>
                <w:lang w:bidi="ar"/>
              </w:rPr>
              <w:t>本年支出合计</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58</w:t>
            </w:r>
          </w:p>
        </w:tc>
        <w:tc>
          <w:tcPr>
            <w:tcW w:w="715" w:type="pct"/>
            <w:tcBorders>
              <w:top w:val="nil"/>
              <w:left w:val="nil"/>
              <w:bottom w:val="single" w:color="000000" w:sz="4" w:space="0"/>
              <w:right w:val="single" w:color="000000" w:sz="4" w:space="0"/>
            </w:tcBorders>
            <w:shd w:val="clear" w:color="FFFFFF" w:fill="C0C0C0"/>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81,652.74</w:t>
            </w: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使用非财政拨款结余</w:t>
            </w: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28</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结余分配</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59</w:t>
            </w:r>
          </w:p>
        </w:tc>
        <w:tc>
          <w:tcPr>
            <w:tcW w:w="715" w:type="pct"/>
            <w:tcBorders>
              <w:top w:val="nil"/>
              <w:left w:val="nil"/>
              <w:bottom w:val="single" w:color="000000" w:sz="4" w:space="0"/>
              <w:right w:val="single" w:color="000000" w:sz="4" w:space="0"/>
            </w:tcBorders>
            <w:shd w:val="clear" w:color="FFFFFF" w:fill="C0C0C0"/>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年初结转和结余</w:t>
            </w: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29</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right"/>
              <w:textAlignment w:val="center"/>
            </w:pPr>
            <w:r>
              <w:rPr>
                <w:rFonts w:hint="eastAsia" w:ascii="宋体" w:hAnsi="宋体" w:cs="宋体"/>
                <w:color w:val="000000"/>
                <w:kern w:val="0"/>
                <w:sz w:val="22"/>
                <w:lang w:bidi="ar"/>
              </w:rPr>
              <w:t>11,050.48</w:t>
            </w: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pPr>
            <w:r>
              <w:rPr>
                <w:rFonts w:hint="eastAsia" w:ascii="宋体" w:hAnsi="宋体" w:cs="宋体"/>
                <w:color w:val="000000"/>
                <w:kern w:val="0"/>
                <w:sz w:val="22"/>
                <w:lang w:bidi="ar"/>
              </w:rPr>
              <w:t>年末结转和结余</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60</w:t>
            </w:r>
          </w:p>
        </w:tc>
        <w:tc>
          <w:tcPr>
            <w:tcW w:w="715" w:type="pct"/>
            <w:tcBorders>
              <w:top w:val="nil"/>
              <w:left w:val="nil"/>
              <w:bottom w:val="single" w:color="000000" w:sz="4" w:space="0"/>
              <w:right w:val="single" w:color="000000" w:sz="4" w:space="0"/>
            </w:tcBorders>
            <w:shd w:val="clear" w:color="FFFFFF" w:fill="C0C0C0"/>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7,618.44</w:t>
            </w: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30</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jc w:val="right"/>
            </w:pP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jc w:val="left"/>
            </w:pP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61</w:t>
            </w:r>
          </w:p>
        </w:tc>
        <w:tc>
          <w:tcPr>
            <w:tcW w:w="715" w:type="pct"/>
            <w:tcBorders>
              <w:top w:val="nil"/>
              <w:left w:val="nil"/>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33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b/>
                <w:bCs/>
                <w:color w:val="000000"/>
                <w:sz w:val="22"/>
              </w:rPr>
            </w:pPr>
            <w:r>
              <w:rPr>
                <w:rFonts w:hint="eastAsia" w:ascii="宋体" w:hAnsi="宋体" w:cs="宋体"/>
                <w:b/>
                <w:bCs/>
                <w:color w:val="000000"/>
                <w:kern w:val="0"/>
                <w:sz w:val="22"/>
                <w:lang w:bidi="ar"/>
              </w:rPr>
              <w:t>总计</w:t>
            </w:r>
          </w:p>
        </w:tc>
        <w:tc>
          <w:tcPr>
            <w:tcW w:w="480"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31</w:t>
            </w:r>
          </w:p>
        </w:tc>
        <w:tc>
          <w:tcPr>
            <w:tcW w:w="644"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right"/>
              <w:textAlignment w:val="center"/>
            </w:pPr>
            <w:r>
              <w:rPr>
                <w:rFonts w:hint="eastAsia" w:ascii="宋体" w:hAnsi="宋体" w:cs="宋体"/>
                <w:color w:val="000000"/>
                <w:kern w:val="0"/>
                <w:sz w:val="22"/>
                <w:lang w:bidi="ar"/>
              </w:rPr>
              <w:t>89,271.18</w:t>
            </w:r>
          </w:p>
        </w:tc>
        <w:tc>
          <w:tcPr>
            <w:tcW w:w="1541"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b/>
                <w:bCs/>
                <w:color w:val="000000"/>
                <w:kern w:val="0"/>
                <w:sz w:val="22"/>
                <w:lang w:bidi="ar"/>
              </w:rPr>
              <w:t>总计</w:t>
            </w:r>
          </w:p>
        </w:tc>
        <w:tc>
          <w:tcPr>
            <w:tcW w:w="287"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pPr>
            <w:r>
              <w:rPr>
                <w:rFonts w:hint="eastAsia" w:ascii="宋体" w:hAnsi="宋体" w:cs="宋体"/>
                <w:color w:val="000000"/>
                <w:kern w:val="0"/>
                <w:sz w:val="22"/>
                <w:lang w:bidi="ar"/>
              </w:rPr>
              <w:t>62</w:t>
            </w:r>
          </w:p>
        </w:tc>
        <w:tc>
          <w:tcPr>
            <w:tcW w:w="715" w:type="pct"/>
            <w:tcBorders>
              <w:top w:val="nil"/>
              <w:left w:val="nil"/>
              <w:bottom w:val="single" w:color="000000" w:sz="8" w:space="0"/>
              <w:right w:val="single" w:color="000000" w:sz="4" w:space="0"/>
            </w:tcBorders>
            <w:shd w:val="clear" w:color="FFFFFF" w:fill="C0C0C0"/>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89,271.18</w:t>
            </w:r>
          </w:p>
        </w:tc>
      </w:tr>
      <w:tr>
        <w:tblPrEx>
          <w:tblCellMar>
            <w:top w:w="0" w:type="dxa"/>
            <w:left w:w="108" w:type="dxa"/>
            <w:bottom w:w="0" w:type="dxa"/>
            <w:right w:w="108" w:type="dxa"/>
          </w:tblCellMar>
        </w:tblPrEx>
        <w:trPr>
          <w:trHeight w:val="308" w:hRule="atLeast"/>
        </w:trPr>
        <w:tc>
          <w:tcPr>
            <w:tcW w:w="5000" w:type="pct"/>
            <w:gridSpan w:val="6"/>
            <w:tcBorders>
              <w:top w:val="nil"/>
              <w:left w:val="nil"/>
              <w:bottom w:val="nil"/>
              <w:right w:val="nil"/>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注：本表反映部门本年度的总收支和年末结转结余情况。本套报表金额单位转换时可能存在尾数误差。</w:t>
            </w:r>
          </w:p>
        </w:tc>
      </w:tr>
    </w:tbl>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tbl>
      <w:tblPr>
        <w:tblStyle w:val="5"/>
        <w:tblW w:w="0" w:type="auto"/>
        <w:tblInd w:w="0" w:type="dxa"/>
        <w:tblLayout w:type="autofit"/>
        <w:tblCellMar>
          <w:top w:w="0" w:type="dxa"/>
          <w:left w:w="108" w:type="dxa"/>
          <w:bottom w:w="0" w:type="dxa"/>
          <w:right w:w="108" w:type="dxa"/>
        </w:tblCellMar>
      </w:tblPr>
      <w:tblGrid>
        <w:gridCol w:w="2216"/>
        <w:gridCol w:w="222"/>
        <w:gridCol w:w="222"/>
        <w:gridCol w:w="3076"/>
        <w:gridCol w:w="1371"/>
        <w:gridCol w:w="1315"/>
        <w:gridCol w:w="974"/>
        <w:gridCol w:w="1214"/>
        <w:gridCol w:w="759"/>
        <w:gridCol w:w="1189"/>
        <w:gridCol w:w="1616"/>
      </w:tblGrid>
      <w:tr>
        <w:tblPrEx>
          <w:tblCellMar>
            <w:top w:w="0" w:type="dxa"/>
            <w:left w:w="108" w:type="dxa"/>
            <w:bottom w:w="0" w:type="dxa"/>
            <w:right w:w="108" w:type="dxa"/>
          </w:tblCellMar>
        </w:tblPrEx>
        <w:trPr>
          <w:trHeight w:val="384" w:hRule="atLeast"/>
        </w:trPr>
        <w:tc>
          <w:tcPr>
            <w:tcW w:w="0" w:type="auto"/>
            <w:gridSpan w:val="11"/>
            <w:tcBorders>
              <w:top w:val="nil"/>
              <w:left w:val="nil"/>
              <w:bottom w:val="nil"/>
              <w:right w:val="nil"/>
            </w:tcBorders>
            <w:shd w:val="clear" w:color="auto" w:fill="auto"/>
            <w:noWrap/>
            <w:vAlign w:val="bottom"/>
          </w:tcPr>
          <w:p>
            <w:pPr>
              <w:widowControl/>
              <w:jc w:val="center"/>
              <w:textAlignment w:val="bottom"/>
              <w:rPr>
                <w:rFonts w:ascii="宋体" w:hAnsi="宋体" w:cs="宋体"/>
                <w:color w:val="000000"/>
                <w:sz w:val="30"/>
                <w:szCs w:val="30"/>
              </w:rPr>
            </w:pPr>
            <w:r>
              <w:rPr>
                <w:rFonts w:hint="eastAsia" w:ascii="宋体" w:hAnsi="宋体" w:cs="宋体"/>
                <w:color w:val="000000"/>
                <w:kern w:val="0"/>
                <w:sz w:val="30"/>
                <w:szCs w:val="30"/>
                <w:lang w:bidi="ar"/>
              </w:rPr>
              <w:t>收入决算表</w:t>
            </w:r>
          </w:p>
        </w:tc>
      </w:tr>
      <w:tr>
        <w:tblPrEx>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lang w:bidi="ar"/>
              </w:rPr>
              <w:t>公开02表</w:t>
            </w:r>
          </w:p>
        </w:tc>
      </w:tr>
      <w:tr>
        <w:tblPrEx>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widowControl/>
              <w:jc w:val="left"/>
              <w:textAlignment w:val="bottom"/>
              <w:rPr>
                <w:rFonts w:ascii="宋体" w:hAnsi="宋体" w:cs="宋体"/>
                <w:color w:val="000000"/>
                <w:sz w:val="20"/>
                <w:szCs w:val="20"/>
              </w:rPr>
            </w:pPr>
            <w:r>
              <w:rPr>
                <w:rFonts w:hint="eastAsia" w:ascii="宋体" w:hAnsi="宋体" w:cs="宋体"/>
                <w:color w:val="000000"/>
                <w:kern w:val="0"/>
                <w:sz w:val="20"/>
                <w:szCs w:val="20"/>
                <w:lang w:bidi="ar"/>
              </w:rPr>
              <w:t>部门：开封市人民医院</w:t>
            </w: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lang w:bidi="ar"/>
              </w:rPr>
              <w:t>金额单位：万元</w:t>
            </w:r>
          </w:p>
        </w:tc>
      </w:tr>
      <w:tr>
        <w:tblPrEx>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项目</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本年收入合计</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财政拨款收入</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上级补助收入</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事业收入</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经营收入</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附属单位上缴收入</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其他收入</w:t>
            </w:r>
          </w:p>
        </w:tc>
      </w:tr>
      <w:tr>
        <w:tblPrEx>
          <w:tblCellMar>
            <w:top w:w="0" w:type="dxa"/>
            <w:left w:w="108" w:type="dxa"/>
            <w:bottom w:w="0" w:type="dxa"/>
            <w:right w:w="108" w:type="dxa"/>
          </w:tblCellMar>
        </w:tblPrEx>
        <w:trPr>
          <w:trHeight w:val="312" w:hRule="atLeast"/>
        </w:trPr>
        <w:tc>
          <w:tcPr>
            <w:tcW w:w="0" w:type="auto"/>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科目名称</w:t>
            </w: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r>
      <w:tr>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r>
      <w:tr>
        <w:trPr>
          <w:trHeight w:val="312" w:hRule="atLeast"/>
        </w:trPr>
        <w:tc>
          <w:tcPr>
            <w:tcW w:w="0" w:type="auto"/>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栏次</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4</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5</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6</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7</w:t>
            </w: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b/>
                <w:bCs/>
                <w:color w:val="000000"/>
                <w:sz w:val="22"/>
              </w:rPr>
            </w:pPr>
            <w:r>
              <w:rPr>
                <w:rFonts w:hint="eastAsia" w:ascii="宋体" w:hAnsi="宋体" w:cs="宋体"/>
                <w:b/>
                <w:bCs/>
                <w:color w:val="000000"/>
                <w:kern w:val="0"/>
                <w:sz w:val="22"/>
                <w:lang w:bidi="ar"/>
              </w:rPr>
              <w:t>78,220.70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b/>
                <w:bCs/>
                <w:color w:val="000000"/>
                <w:sz w:val="22"/>
              </w:rPr>
            </w:pPr>
            <w:r>
              <w:rPr>
                <w:rFonts w:hint="eastAsia" w:ascii="宋体" w:hAnsi="宋体" w:cs="宋体"/>
                <w:b/>
                <w:bCs/>
                <w:color w:val="000000"/>
                <w:kern w:val="0"/>
                <w:sz w:val="22"/>
                <w:lang w:bidi="ar"/>
              </w:rPr>
              <w:t>2,185.53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b/>
                <w:bCs/>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b/>
                <w:bCs/>
                <w:color w:val="000000"/>
                <w:sz w:val="22"/>
              </w:rPr>
            </w:pPr>
            <w:r>
              <w:rPr>
                <w:rFonts w:hint="eastAsia" w:ascii="宋体" w:hAnsi="宋体" w:cs="宋体"/>
                <w:b/>
                <w:bCs/>
                <w:color w:val="000000"/>
                <w:kern w:val="0"/>
                <w:sz w:val="22"/>
                <w:lang w:bidi="ar"/>
              </w:rPr>
              <w:t>49,519.20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b/>
                <w:bCs/>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b/>
                <w:bCs/>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b/>
                <w:bCs/>
                <w:color w:val="000000"/>
                <w:sz w:val="22"/>
              </w:rPr>
            </w:pPr>
            <w:r>
              <w:rPr>
                <w:rFonts w:hint="eastAsia" w:ascii="宋体" w:hAnsi="宋体" w:cs="宋体"/>
                <w:b/>
                <w:bCs/>
                <w:color w:val="000000"/>
                <w:kern w:val="0"/>
                <w:sz w:val="22"/>
                <w:lang w:bidi="ar"/>
              </w:rPr>
              <w:t>26,515.96</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206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科学技术支出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10.50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10.50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20604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技术研究与开发</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10.50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10.50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2060499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其他技术研究与开发支出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10.50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10.50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卫生健康支出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78,119.20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2,084.03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49,519.20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26,515.96</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卫生健康管理事务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2100102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一般行政管理事务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公立医院</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77,532.32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1,528.44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49,519.20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26,484.67</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2100201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综合医院</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77,455.32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1,451.44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49,519.20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26,484.67</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2100211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处理医疗欠费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2100299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其他公立医院支出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76.00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76.00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基层医疗卫生机构</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338.10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338.10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2100399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其他基层医疗卫生机构支出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338.10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338.10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公共卫生</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134.78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108.49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26.29</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2100408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基本公共卫生服务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3.60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3.60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2100409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重大公共卫生服务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1.99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2100410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突发公共卫生事件应急处理</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129.19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102.90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26.29</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其他卫生健康支出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109.00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104.00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2109999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其他卫生健康支出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109.00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104.00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农林水支出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4.00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4.00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21305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扶贫</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4.00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4.00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2130599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其他扶贫支出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4.00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4.00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224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灾害防治及应急管理支出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22407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自然灾害救灾及恢复重建支出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2240704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自然灾害灾后重建补助</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rPr>
          <w:trHeight w:val="308" w:hRule="atLeast"/>
        </w:trPr>
        <w:tc>
          <w:tcPr>
            <w:tcW w:w="0" w:type="auto"/>
            <w:gridSpan w:val="11"/>
            <w:tcBorders>
              <w:top w:val="nil"/>
              <w:left w:val="nil"/>
              <w:bottom w:val="nil"/>
              <w:right w:val="nil"/>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注：本表反映部门本年度取得的各项收入情况。</w:t>
            </w:r>
          </w:p>
        </w:tc>
      </w:tr>
    </w:tbl>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tbl>
      <w:tblPr>
        <w:tblStyle w:val="5"/>
        <w:tblW w:w="0" w:type="auto"/>
        <w:tblInd w:w="0" w:type="dxa"/>
        <w:tblLayout w:type="autofit"/>
        <w:tblCellMar>
          <w:top w:w="0" w:type="dxa"/>
          <w:left w:w="108" w:type="dxa"/>
          <w:bottom w:w="0" w:type="dxa"/>
          <w:right w:w="108" w:type="dxa"/>
        </w:tblCellMar>
      </w:tblPr>
      <w:tblGrid>
        <w:gridCol w:w="2216"/>
        <w:gridCol w:w="222"/>
        <w:gridCol w:w="222"/>
        <w:gridCol w:w="3956"/>
        <w:gridCol w:w="1411"/>
        <w:gridCol w:w="1214"/>
        <w:gridCol w:w="1013"/>
        <w:gridCol w:w="1109"/>
        <w:gridCol w:w="840"/>
        <w:gridCol w:w="1971"/>
      </w:tblGrid>
      <w:tr>
        <w:tblPrEx>
          <w:tblCellMar>
            <w:top w:w="0" w:type="dxa"/>
            <w:left w:w="108" w:type="dxa"/>
            <w:bottom w:w="0" w:type="dxa"/>
            <w:right w:w="108" w:type="dxa"/>
          </w:tblCellMar>
        </w:tblPrEx>
        <w:trPr>
          <w:trHeight w:val="384" w:hRule="atLeast"/>
        </w:trPr>
        <w:tc>
          <w:tcPr>
            <w:tcW w:w="0" w:type="auto"/>
            <w:gridSpan w:val="10"/>
            <w:tcBorders>
              <w:top w:val="nil"/>
              <w:left w:val="nil"/>
              <w:bottom w:val="nil"/>
              <w:right w:val="nil"/>
            </w:tcBorders>
            <w:shd w:val="clear" w:color="auto" w:fill="auto"/>
            <w:noWrap/>
            <w:vAlign w:val="bottom"/>
          </w:tcPr>
          <w:p>
            <w:pPr>
              <w:widowControl/>
              <w:jc w:val="center"/>
              <w:textAlignment w:val="bottom"/>
              <w:rPr>
                <w:rFonts w:ascii="宋体" w:hAnsi="宋体" w:cs="宋体"/>
                <w:color w:val="000000"/>
                <w:sz w:val="30"/>
                <w:szCs w:val="30"/>
              </w:rPr>
            </w:pPr>
            <w:r>
              <w:rPr>
                <w:rFonts w:hint="eastAsia" w:ascii="宋体" w:hAnsi="宋体" w:cs="宋体"/>
                <w:color w:val="000000"/>
                <w:kern w:val="0"/>
                <w:sz w:val="30"/>
                <w:szCs w:val="30"/>
                <w:lang w:bidi="ar"/>
              </w:rPr>
              <w:t>支出决算表</w:t>
            </w:r>
          </w:p>
        </w:tc>
      </w:tr>
      <w:tr>
        <w:tblPrEx>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lang w:bidi="ar"/>
              </w:rPr>
              <w:t>公开03表</w:t>
            </w:r>
          </w:p>
        </w:tc>
      </w:tr>
      <w:tr>
        <w:tblPrEx>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widowControl/>
              <w:jc w:val="left"/>
              <w:textAlignment w:val="bottom"/>
              <w:rPr>
                <w:rFonts w:ascii="宋体" w:hAnsi="宋体" w:cs="宋体"/>
                <w:color w:val="000000"/>
                <w:sz w:val="20"/>
                <w:szCs w:val="20"/>
              </w:rPr>
            </w:pPr>
            <w:r>
              <w:rPr>
                <w:rFonts w:hint="eastAsia" w:ascii="宋体" w:hAnsi="宋体" w:cs="宋体"/>
                <w:color w:val="000000"/>
                <w:kern w:val="0"/>
                <w:sz w:val="20"/>
                <w:szCs w:val="20"/>
                <w:lang w:bidi="ar"/>
              </w:rPr>
              <w:t>部门：开封市人民医院</w:t>
            </w: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lang w:bidi="ar"/>
              </w:rPr>
              <w:t>金额单位：万元</w:t>
            </w:r>
          </w:p>
        </w:tc>
      </w:tr>
      <w:tr>
        <w:tblPrEx>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项目</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本年支出合计</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基本支出</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项目支出</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上缴上级支出</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经营支出</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对附属单位补助支出</w:t>
            </w:r>
          </w:p>
        </w:tc>
      </w:tr>
      <w:tr>
        <w:tblPrEx>
          <w:tblCellMar>
            <w:top w:w="0" w:type="dxa"/>
            <w:left w:w="108" w:type="dxa"/>
            <w:bottom w:w="0" w:type="dxa"/>
            <w:right w:w="108" w:type="dxa"/>
          </w:tblCellMar>
        </w:tblPrEx>
        <w:trPr>
          <w:trHeight w:val="312" w:hRule="atLeast"/>
        </w:trPr>
        <w:tc>
          <w:tcPr>
            <w:tcW w:w="0" w:type="auto"/>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科目名称</w:t>
            </w: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r>
      <w:tr>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r>
      <w:tr>
        <w:tblPrEx>
          <w:tblCellMar>
            <w:top w:w="0" w:type="dxa"/>
            <w:left w:w="108" w:type="dxa"/>
            <w:bottom w:w="0" w:type="dxa"/>
            <w:right w:w="108" w:type="dxa"/>
          </w:tblCellMar>
        </w:tblPrEx>
        <w:trPr>
          <w:trHeight w:val="312" w:hRule="atLeast"/>
        </w:trPr>
        <w:tc>
          <w:tcPr>
            <w:tcW w:w="0" w:type="auto"/>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栏次</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4</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5</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6</w:t>
            </w: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b/>
                <w:bCs/>
                <w:color w:val="000000"/>
                <w:sz w:val="22"/>
              </w:rPr>
            </w:pPr>
            <w:r>
              <w:rPr>
                <w:rFonts w:hint="eastAsia" w:ascii="宋体" w:hAnsi="宋体" w:cs="宋体"/>
                <w:b/>
                <w:bCs/>
                <w:color w:val="000000"/>
                <w:kern w:val="0"/>
                <w:sz w:val="22"/>
                <w:lang w:bidi="ar"/>
              </w:rPr>
              <w:t>81,652.74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b/>
                <w:bCs/>
                <w:color w:val="000000"/>
                <w:sz w:val="22"/>
              </w:rPr>
            </w:pPr>
            <w:r>
              <w:rPr>
                <w:rFonts w:hint="eastAsia" w:ascii="宋体" w:hAnsi="宋体" w:cs="宋体"/>
                <w:b/>
                <w:bCs/>
                <w:color w:val="000000"/>
                <w:kern w:val="0"/>
                <w:sz w:val="22"/>
                <w:lang w:bidi="ar"/>
              </w:rPr>
              <w:t>80,849.74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b/>
                <w:bCs/>
                <w:color w:val="000000"/>
                <w:sz w:val="22"/>
              </w:rPr>
            </w:pPr>
            <w:r>
              <w:rPr>
                <w:rFonts w:hint="eastAsia" w:ascii="宋体" w:hAnsi="宋体" w:cs="宋体"/>
                <w:b/>
                <w:bCs/>
                <w:color w:val="000000"/>
                <w:kern w:val="0"/>
                <w:sz w:val="22"/>
                <w:lang w:bidi="ar"/>
              </w:rPr>
              <w:t>803.00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b/>
                <w:bCs/>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b/>
                <w:bCs/>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b/>
                <w:bCs/>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206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科学技术支出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0.83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0.83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20604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技术研究与开发</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0.83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0.83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2060499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其他技术研究与开发支出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0.83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0.83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208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社会保障和就业支出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155.00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20805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行政事业单位养老支出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155.00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2080505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机关事业单位基本养老保险缴费支出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155.00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155.00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卫生健康支出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81,408.11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80,694.74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713.37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卫生健康管理事务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2100102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一般行政管理事务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21002</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公立医院</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80,859.86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80,665.56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194.30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2100201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综合医院</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80,532.86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80,415.56</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117.30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2100211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处理医疗欠费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2100299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其他公立医院支出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326.00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250.00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76.00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基层医疗卫生机构</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358.87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358.87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2100399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其他基层医疗卫生机构支出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358.87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358.87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公共卫生</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77.49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26.29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51.20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2100408</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基本公共卫生服务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2100410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突发公共卫生事件应急处理</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76.29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26.29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其他卫生健康支出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106.89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2.89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104.00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2109999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其他卫生健康支出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106.89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2.89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104.00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213</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农林水支出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1.81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1.81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21301</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农业农村</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1.61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1.61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2130199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其他农业农村支出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1.61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1.61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21305</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扶贫</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2130599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其他扶贫支出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224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灾害防治及应急管理支出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22407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自然灾害救灾及恢复重建支出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2240704</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自然灾害灾后重建补助</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gridSpan w:val="10"/>
            <w:tcBorders>
              <w:top w:val="nil"/>
              <w:left w:val="nil"/>
              <w:bottom w:val="nil"/>
              <w:right w:val="nil"/>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注：本表反映部门本年度各项支出情况。</w:t>
            </w:r>
          </w:p>
        </w:tc>
      </w:tr>
    </w:tbl>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tbl>
      <w:tblPr>
        <w:tblStyle w:val="5"/>
        <w:tblW w:w="0" w:type="auto"/>
        <w:tblInd w:w="0" w:type="dxa"/>
        <w:tblLayout w:type="fixed"/>
        <w:tblCellMar>
          <w:top w:w="0" w:type="dxa"/>
          <w:left w:w="108" w:type="dxa"/>
          <w:bottom w:w="0" w:type="dxa"/>
          <w:right w:w="108" w:type="dxa"/>
        </w:tblCellMar>
      </w:tblPr>
      <w:tblGrid>
        <w:gridCol w:w="2889"/>
        <w:gridCol w:w="627"/>
        <w:gridCol w:w="1151"/>
        <w:gridCol w:w="3187"/>
        <w:gridCol w:w="627"/>
        <w:gridCol w:w="1373"/>
        <w:gridCol w:w="1607"/>
        <w:gridCol w:w="1356"/>
        <w:gridCol w:w="1250"/>
      </w:tblGrid>
      <w:tr>
        <w:tblPrEx>
          <w:tblCellMar>
            <w:top w:w="0" w:type="dxa"/>
            <w:left w:w="108" w:type="dxa"/>
            <w:bottom w:w="0" w:type="dxa"/>
            <w:right w:w="108" w:type="dxa"/>
          </w:tblCellMar>
        </w:tblPrEx>
        <w:trPr>
          <w:trHeight w:val="384" w:hRule="atLeast"/>
        </w:trPr>
        <w:tc>
          <w:tcPr>
            <w:tcW w:w="14067" w:type="dxa"/>
            <w:gridSpan w:val="9"/>
            <w:tcBorders>
              <w:top w:val="nil"/>
              <w:left w:val="nil"/>
              <w:bottom w:val="nil"/>
              <w:right w:val="nil"/>
            </w:tcBorders>
            <w:shd w:val="clear" w:color="auto" w:fill="auto"/>
            <w:noWrap/>
            <w:vAlign w:val="bottom"/>
          </w:tcPr>
          <w:p>
            <w:pPr>
              <w:widowControl/>
              <w:jc w:val="center"/>
              <w:textAlignment w:val="bottom"/>
              <w:rPr>
                <w:rFonts w:ascii="宋体" w:hAnsi="宋体" w:cs="宋体"/>
                <w:color w:val="000000"/>
                <w:sz w:val="30"/>
                <w:szCs w:val="30"/>
              </w:rPr>
            </w:pPr>
            <w:r>
              <w:rPr>
                <w:rFonts w:hint="eastAsia" w:ascii="宋体" w:hAnsi="宋体" w:cs="宋体"/>
                <w:color w:val="000000"/>
                <w:kern w:val="0"/>
                <w:sz w:val="30"/>
                <w:szCs w:val="30"/>
                <w:lang w:bidi="ar"/>
              </w:rPr>
              <w:t>财政拨款收入支出决算总表</w:t>
            </w:r>
          </w:p>
        </w:tc>
      </w:tr>
      <w:tr>
        <w:tblPrEx>
          <w:tblCellMar>
            <w:top w:w="0" w:type="dxa"/>
            <w:left w:w="108" w:type="dxa"/>
            <w:bottom w:w="0" w:type="dxa"/>
            <w:right w:w="108" w:type="dxa"/>
          </w:tblCellMar>
        </w:tblPrEx>
        <w:trPr>
          <w:trHeight w:val="264" w:hRule="atLeast"/>
        </w:trPr>
        <w:tc>
          <w:tcPr>
            <w:tcW w:w="2889"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62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151"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318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62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7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60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56"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250" w:type="dxa"/>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lang w:bidi="ar"/>
              </w:rPr>
              <w:t>公开04表</w:t>
            </w:r>
          </w:p>
        </w:tc>
      </w:tr>
      <w:tr>
        <w:tblPrEx>
          <w:tblCellMar>
            <w:top w:w="0" w:type="dxa"/>
            <w:left w:w="108" w:type="dxa"/>
            <w:bottom w:w="0" w:type="dxa"/>
            <w:right w:w="108" w:type="dxa"/>
          </w:tblCellMar>
        </w:tblPrEx>
        <w:trPr>
          <w:trHeight w:val="264" w:hRule="atLeast"/>
        </w:trPr>
        <w:tc>
          <w:tcPr>
            <w:tcW w:w="2889" w:type="dxa"/>
            <w:tcBorders>
              <w:top w:val="nil"/>
              <w:left w:val="nil"/>
              <w:bottom w:val="nil"/>
              <w:right w:val="nil"/>
            </w:tcBorders>
            <w:shd w:val="clear" w:color="auto" w:fill="auto"/>
            <w:noWrap/>
            <w:vAlign w:val="bottom"/>
          </w:tcPr>
          <w:p>
            <w:pPr>
              <w:widowControl/>
              <w:jc w:val="left"/>
              <w:textAlignment w:val="bottom"/>
              <w:rPr>
                <w:rFonts w:ascii="宋体" w:hAnsi="宋体" w:cs="宋体"/>
                <w:color w:val="000000"/>
                <w:sz w:val="20"/>
                <w:szCs w:val="20"/>
              </w:rPr>
            </w:pPr>
            <w:r>
              <w:rPr>
                <w:rFonts w:hint="eastAsia" w:ascii="宋体" w:hAnsi="宋体" w:cs="宋体"/>
                <w:color w:val="000000"/>
                <w:kern w:val="0"/>
                <w:sz w:val="20"/>
                <w:szCs w:val="20"/>
                <w:lang w:bidi="ar"/>
              </w:rPr>
              <w:t>部门：开封市人民医院</w:t>
            </w:r>
          </w:p>
        </w:tc>
        <w:tc>
          <w:tcPr>
            <w:tcW w:w="62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151"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318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62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37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607"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606" w:type="dxa"/>
            <w:gridSpan w:val="2"/>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lang w:bidi="ar"/>
              </w:rPr>
              <w:t>金额单位：万元</w:t>
            </w:r>
          </w:p>
        </w:tc>
      </w:tr>
      <w:tr>
        <w:tblPrEx>
          <w:tblCellMar>
            <w:top w:w="0" w:type="dxa"/>
            <w:left w:w="108" w:type="dxa"/>
            <w:bottom w:w="0" w:type="dxa"/>
            <w:right w:w="108" w:type="dxa"/>
          </w:tblCellMar>
        </w:tblPrEx>
        <w:trPr>
          <w:trHeight w:val="308" w:hRule="atLeast"/>
        </w:trPr>
        <w:tc>
          <w:tcPr>
            <w:tcW w:w="4667"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收     入</w:t>
            </w:r>
          </w:p>
        </w:tc>
        <w:tc>
          <w:tcPr>
            <w:tcW w:w="9400" w:type="dxa"/>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支     出</w:t>
            </w:r>
          </w:p>
        </w:tc>
      </w:tr>
      <w:tr>
        <w:tblPrEx>
          <w:tblCellMar>
            <w:top w:w="0" w:type="dxa"/>
            <w:left w:w="108" w:type="dxa"/>
            <w:bottom w:w="0" w:type="dxa"/>
            <w:right w:w="108" w:type="dxa"/>
          </w:tblCellMar>
        </w:tblPrEx>
        <w:trPr>
          <w:trHeight w:val="312" w:hRule="atLeast"/>
        </w:trPr>
        <w:tc>
          <w:tcPr>
            <w:tcW w:w="2889"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项目</w:t>
            </w:r>
          </w:p>
        </w:tc>
        <w:tc>
          <w:tcPr>
            <w:tcW w:w="627"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行次</w:t>
            </w:r>
          </w:p>
        </w:tc>
        <w:tc>
          <w:tcPr>
            <w:tcW w:w="1151"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金额</w:t>
            </w:r>
          </w:p>
        </w:tc>
        <w:tc>
          <w:tcPr>
            <w:tcW w:w="3187"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项目</w:t>
            </w:r>
          </w:p>
        </w:tc>
        <w:tc>
          <w:tcPr>
            <w:tcW w:w="627"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行次</w:t>
            </w:r>
          </w:p>
        </w:tc>
        <w:tc>
          <w:tcPr>
            <w:tcW w:w="1373" w:type="dxa"/>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合计</w:t>
            </w:r>
          </w:p>
        </w:tc>
        <w:tc>
          <w:tcPr>
            <w:tcW w:w="1607"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一般公共预算财政拨款</w:t>
            </w:r>
          </w:p>
        </w:tc>
        <w:tc>
          <w:tcPr>
            <w:tcW w:w="1356"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政府性基金预算财政拨款</w:t>
            </w:r>
          </w:p>
        </w:tc>
        <w:tc>
          <w:tcPr>
            <w:tcW w:w="125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国有资本经营预算财政拨款</w:t>
            </w:r>
          </w:p>
        </w:tc>
      </w:tr>
      <w:tr>
        <w:tblPrEx>
          <w:tblCellMar>
            <w:top w:w="0" w:type="dxa"/>
            <w:left w:w="108" w:type="dxa"/>
            <w:bottom w:w="0" w:type="dxa"/>
            <w:right w:w="108" w:type="dxa"/>
          </w:tblCellMar>
        </w:tblPrEx>
        <w:trPr>
          <w:trHeight w:val="615" w:hRule="atLeast"/>
        </w:trPr>
        <w:tc>
          <w:tcPr>
            <w:tcW w:w="2889"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627"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1151"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3187"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627"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1373" w:type="dxa"/>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cs="宋体"/>
                <w:color w:val="000000"/>
                <w:sz w:val="22"/>
              </w:rPr>
            </w:pPr>
          </w:p>
        </w:tc>
        <w:tc>
          <w:tcPr>
            <w:tcW w:w="1607"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1356"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125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栏次</w:t>
            </w:r>
          </w:p>
        </w:tc>
        <w:tc>
          <w:tcPr>
            <w:tcW w:w="627"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宋体"/>
                <w:color w:val="000000"/>
                <w:sz w:val="22"/>
              </w:rPr>
            </w:pPr>
          </w:p>
        </w:tc>
        <w:tc>
          <w:tcPr>
            <w:tcW w:w="1151"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w:t>
            </w: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栏次</w:t>
            </w:r>
          </w:p>
        </w:tc>
        <w:tc>
          <w:tcPr>
            <w:tcW w:w="627" w:type="dxa"/>
            <w:tcBorders>
              <w:top w:val="nil"/>
              <w:left w:val="nil"/>
              <w:bottom w:val="single" w:color="000000" w:sz="4" w:space="0"/>
              <w:right w:val="single" w:color="000000" w:sz="4" w:space="0"/>
            </w:tcBorders>
            <w:shd w:val="clear" w:color="FFFFFF" w:fill="C0C0C0"/>
            <w:noWrap/>
            <w:vAlign w:val="center"/>
          </w:tcPr>
          <w:p>
            <w:pPr>
              <w:jc w:val="center"/>
              <w:rPr>
                <w:rFonts w:ascii="宋体" w:hAnsi="宋体" w:cs="宋体"/>
                <w:color w:val="000000"/>
                <w:sz w:val="22"/>
              </w:rPr>
            </w:pPr>
          </w:p>
        </w:tc>
        <w:tc>
          <w:tcPr>
            <w:tcW w:w="1373"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w:t>
            </w:r>
          </w:p>
        </w:tc>
        <w:tc>
          <w:tcPr>
            <w:tcW w:w="160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w:t>
            </w:r>
          </w:p>
        </w:tc>
        <w:tc>
          <w:tcPr>
            <w:tcW w:w="1356"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4</w:t>
            </w:r>
          </w:p>
        </w:tc>
        <w:tc>
          <w:tcPr>
            <w:tcW w:w="1250"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5</w:t>
            </w: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一、一般公共预算财政拨款</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w:t>
            </w:r>
          </w:p>
        </w:tc>
        <w:tc>
          <w:tcPr>
            <w:tcW w:w="115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2,185.53</w:t>
            </w: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一、一般公共服务支出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33</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二、政府性基金预算财政拨款</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二、外交支出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34</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三、国有资本经营财政拨款</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三、国防支出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35</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4</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四、公共安全支出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36</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5</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五、教育支出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37</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6</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六、科学技术支出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38</w:t>
            </w:r>
          </w:p>
        </w:tc>
        <w:tc>
          <w:tcPr>
            <w:tcW w:w="137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0.83</w:t>
            </w:r>
          </w:p>
        </w:tc>
        <w:tc>
          <w:tcPr>
            <w:tcW w:w="16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0.83</w:t>
            </w: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7</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七、文化旅游体育与传媒支出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39</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8</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八、社会保障和就业支出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40</w:t>
            </w:r>
          </w:p>
        </w:tc>
        <w:tc>
          <w:tcPr>
            <w:tcW w:w="137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155.00</w:t>
            </w:r>
          </w:p>
        </w:tc>
        <w:tc>
          <w:tcPr>
            <w:tcW w:w="16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155.00</w:t>
            </w: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9</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九、卫生健康支出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41</w:t>
            </w:r>
          </w:p>
        </w:tc>
        <w:tc>
          <w:tcPr>
            <w:tcW w:w="137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2,297.51</w:t>
            </w:r>
          </w:p>
        </w:tc>
        <w:tc>
          <w:tcPr>
            <w:tcW w:w="16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2,297.51</w:t>
            </w: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10</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十、节能环保支出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42</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11</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十一、城乡社区支出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43</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12</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十二、农林水支出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44</w:t>
            </w:r>
          </w:p>
        </w:tc>
        <w:tc>
          <w:tcPr>
            <w:tcW w:w="137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1.81</w:t>
            </w:r>
          </w:p>
        </w:tc>
        <w:tc>
          <w:tcPr>
            <w:tcW w:w="16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1.81</w:t>
            </w: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13</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十三、交通运输支出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45</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14</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十四、资源勘探工业信息等支出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46</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15</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十五、商业服务业等支出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47</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16</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十六、金融支出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48</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17</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十七、援助其他地区支出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49</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18</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十八、自然资源海洋气象等支出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50</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19</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十九、住房保障支出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51</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20</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二十、粮油物资储备支出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52</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21</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二十一、国有资本经营预算支出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53</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22</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二十二、灾害防治及应急管理支出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54</w:t>
            </w:r>
          </w:p>
        </w:tc>
        <w:tc>
          <w:tcPr>
            <w:tcW w:w="137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16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23</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二十三、其他支出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55</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center"/>
              <w:rPr>
                <w:rFonts w:ascii="宋体" w:hAnsi="宋体" w:cs="宋体"/>
                <w:b/>
                <w:bCs/>
                <w:color w:val="000000"/>
                <w:sz w:val="20"/>
                <w:szCs w:val="20"/>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24</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二十四、债务还本支出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56</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0"/>
                <w:szCs w:val="20"/>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25</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二十五、债务付息支出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57</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0"/>
                <w:szCs w:val="20"/>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26</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二十六、抗疫特别国债安排的支出</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58</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b/>
                <w:bCs/>
                <w:color w:val="000000"/>
                <w:sz w:val="22"/>
              </w:rPr>
            </w:pPr>
            <w:r>
              <w:rPr>
                <w:rFonts w:hint="eastAsia" w:ascii="宋体" w:hAnsi="宋体" w:cs="宋体"/>
                <w:b/>
                <w:bCs/>
                <w:color w:val="000000"/>
                <w:kern w:val="0"/>
                <w:sz w:val="22"/>
                <w:lang w:bidi="ar"/>
              </w:rPr>
              <w:t>本年收入合计</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27</w:t>
            </w:r>
          </w:p>
        </w:tc>
        <w:tc>
          <w:tcPr>
            <w:tcW w:w="115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2,185.53</w:t>
            </w: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b/>
                <w:bCs/>
                <w:color w:val="000000"/>
                <w:sz w:val="22"/>
              </w:rPr>
            </w:pPr>
            <w:r>
              <w:rPr>
                <w:rFonts w:hint="eastAsia" w:ascii="宋体" w:hAnsi="宋体" w:cs="宋体"/>
                <w:b/>
                <w:bCs/>
                <w:color w:val="000000"/>
                <w:kern w:val="0"/>
                <w:sz w:val="22"/>
                <w:lang w:bidi="ar"/>
              </w:rPr>
              <w:t>本年支出合计</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59</w:t>
            </w:r>
          </w:p>
        </w:tc>
        <w:tc>
          <w:tcPr>
            <w:tcW w:w="137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2,542.14</w:t>
            </w:r>
          </w:p>
        </w:tc>
        <w:tc>
          <w:tcPr>
            <w:tcW w:w="16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2,542.14</w:t>
            </w: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年初财政拨款结转和结余</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28</w:t>
            </w:r>
          </w:p>
        </w:tc>
        <w:tc>
          <w:tcPr>
            <w:tcW w:w="115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527.13</w:t>
            </w: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年末财政拨款结转和结余</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60</w:t>
            </w:r>
          </w:p>
        </w:tc>
        <w:tc>
          <w:tcPr>
            <w:tcW w:w="137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170.52</w:t>
            </w:r>
          </w:p>
        </w:tc>
        <w:tc>
          <w:tcPr>
            <w:tcW w:w="16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170.52</w:t>
            </w: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一般公共预算财政拨款</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29</w:t>
            </w:r>
          </w:p>
        </w:tc>
        <w:tc>
          <w:tcPr>
            <w:tcW w:w="115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527.13</w:t>
            </w:r>
          </w:p>
        </w:tc>
        <w:tc>
          <w:tcPr>
            <w:tcW w:w="3187"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61</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政府性基金预算财政拨款</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30</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62</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国有资本经营预算财政拨款</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31</w:t>
            </w:r>
          </w:p>
        </w:tc>
        <w:tc>
          <w:tcPr>
            <w:tcW w:w="1151"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3187"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63</w:t>
            </w:r>
          </w:p>
        </w:tc>
        <w:tc>
          <w:tcPr>
            <w:tcW w:w="137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607"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2889"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b/>
                <w:bCs/>
                <w:color w:val="000000"/>
                <w:sz w:val="22"/>
              </w:rPr>
            </w:pPr>
            <w:r>
              <w:rPr>
                <w:rFonts w:hint="eastAsia" w:ascii="宋体" w:hAnsi="宋体" w:cs="宋体"/>
                <w:b/>
                <w:bCs/>
                <w:color w:val="000000"/>
                <w:kern w:val="0"/>
                <w:sz w:val="22"/>
                <w:lang w:bidi="ar"/>
              </w:rPr>
              <w:t>总计</w:t>
            </w:r>
          </w:p>
        </w:tc>
        <w:tc>
          <w:tcPr>
            <w:tcW w:w="627" w:type="dxa"/>
            <w:tcBorders>
              <w:top w:val="nil"/>
              <w:left w:val="nil"/>
              <w:bottom w:val="single" w:color="000000" w:sz="8"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32</w:t>
            </w:r>
          </w:p>
        </w:tc>
        <w:tc>
          <w:tcPr>
            <w:tcW w:w="1151"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2,712.67</w:t>
            </w:r>
          </w:p>
        </w:tc>
        <w:tc>
          <w:tcPr>
            <w:tcW w:w="318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b/>
                <w:bCs/>
                <w:color w:val="000000"/>
                <w:sz w:val="22"/>
              </w:rPr>
            </w:pPr>
            <w:r>
              <w:rPr>
                <w:rFonts w:hint="eastAsia" w:ascii="宋体" w:hAnsi="宋体" w:cs="宋体"/>
                <w:b/>
                <w:bCs/>
                <w:color w:val="000000"/>
                <w:kern w:val="0"/>
                <w:sz w:val="22"/>
                <w:lang w:bidi="ar"/>
              </w:rPr>
              <w:t>总计</w:t>
            </w:r>
          </w:p>
        </w:tc>
        <w:tc>
          <w:tcPr>
            <w:tcW w:w="627" w:type="dxa"/>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64</w:t>
            </w:r>
          </w:p>
        </w:tc>
        <w:tc>
          <w:tcPr>
            <w:tcW w:w="137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2,712.67</w:t>
            </w:r>
          </w:p>
        </w:tc>
        <w:tc>
          <w:tcPr>
            <w:tcW w:w="1607"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2,712.67</w:t>
            </w:r>
          </w:p>
        </w:tc>
        <w:tc>
          <w:tcPr>
            <w:tcW w:w="1356"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250"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2817" w:type="dxa"/>
            <w:gridSpan w:val="8"/>
            <w:tcBorders>
              <w:top w:val="nil"/>
              <w:left w:val="nil"/>
              <w:bottom w:val="nil"/>
              <w:right w:val="nil"/>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注：本表反映部门本年度一般公共预算财政拨款、政府性基金预算财政拨款和国有资本经营预算财政拨款的总收支和年末结转结余情况。</w:t>
            </w:r>
          </w:p>
        </w:tc>
        <w:tc>
          <w:tcPr>
            <w:tcW w:w="1250" w:type="dxa"/>
            <w:tcBorders>
              <w:top w:val="nil"/>
              <w:left w:val="nil"/>
              <w:bottom w:val="nil"/>
              <w:right w:val="nil"/>
            </w:tcBorders>
            <w:shd w:val="clear" w:color="auto" w:fill="auto"/>
            <w:noWrap/>
            <w:vAlign w:val="center"/>
          </w:tcPr>
          <w:p>
            <w:pPr>
              <w:jc w:val="left"/>
              <w:rPr>
                <w:rFonts w:ascii="宋体" w:hAnsi="宋体" w:cs="宋体"/>
                <w:color w:val="000000"/>
                <w:sz w:val="20"/>
                <w:szCs w:val="20"/>
              </w:rPr>
            </w:pPr>
          </w:p>
        </w:tc>
      </w:tr>
    </w:tbl>
    <w:p>
      <w:pPr>
        <w:rPr>
          <w:rFonts w:ascii="仿宋_GB2312" w:hAnsi="仿宋_GB2312" w:eastAsia="仿宋_GB2312" w:cs="仿宋_GB2312"/>
          <w:sz w:val="32"/>
          <w:szCs w:val="32"/>
        </w:rPr>
      </w:pPr>
    </w:p>
    <w:p>
      <w:pPr>
        <w:rPr>
          <w:rFonts w:ascii="仿宋_GB2312" w:hAnsi="仿宋_GB2312" w:eastAsia="仿宋_GB2312" w:cs="仿宋_GB2312"/>
          <w:sz w:val="32"/>
          <w:szCs w:val="32"/>
        </w:rPr>
      </w:pPr>
    </w:p>
    <w:tbl>
      <w:tblPr>
        <w:tblStyle w:val="5"/>
        <w:tblW w:w="5000" w:type="pct"/>
        <w:tblInd w:w="0" w:type="dxa"/>
        <w:tblLayout w:type="autofit"/>
        <w:tblCellMar>
          <w:top w:w="0" w:type="dxa"/>
          <w:left w:w="108" w:type="dxa"/>
          <w:bottom w:w="0" w:type="dxa"/>
          <w:right w:w="108" w:type="dxa"/>
        </w:tblCellMar>
      </w:tblPr>
      <w:tblGrid>
        <w:gridCol w:w="3008"/>
        <w:gridCol w:w="300"/>
        <w:gridCol w:w="300"/>
        <w:gridCol w:w="5372"/>
        <w:gridCol w:w="1497"/>
        <w:gridCol w:w="1497"/>
        <w:gridCol w:w="2200"/>
      </w:tblGrid>
      <w:tr>
        <w:tblPrEx>
          <w:tblCellMar>
            <w:top w:w="0" w:type="dxa"/>
            <w:left w:w="108" w:type="dxa"/>
            <w:bottom w:w="0" w:type="dxa"/>
            <w:right w:w="108" w:type="dxa"/>
          </w:tblCellMar>
        </w:tblPrEx>
        <w:trPr>
          <w:trHeight w:val="384" w:hRule="atLeast"/>
        </w:trPr>
        <w:tc>
          <w:tcPr>
            <w:tcW w:w="5000" w:type="pct"/>
            <w:gridSpan w:val="7"/>
            <w:tcBorders>
              <w:top w:val="nil"/>
              <w:left w:val="nil"/>
              <w:bottom w:val="nil"/>
              <w:right w:val="nil"/>
            </w:tcBorders>
            <w:shd w:val="clear" w:color="auto" w:fill="auto"/>
            <w:noWrap/>
            <w:vAlign w:val="bottom"/>
          </w:tcPr>
          <w:p>
            <w:pPr>
              <w:widowControl/>
              <w:jc w:val="center"/>
              <w:textAlignment w:val="bottom"/>
              <w:rPr>
                <w:rFonts w:ascii="宋体" w:hAnsi="宋体" w:cs="宋体"/>
                <w:color w:val="000000"/>
                <w:sz w:val="30"/>
                <w:szCs w:val="30"/>
              </w:rPr>
            </w:pPr>
            <w:r>
              <w:rPr>
                <w:rFonts w:hint="eastAsia" w:ascii="宋体" w:hAnsi="宋体" w:cs="宋体"/>
                <w:color w:val="000000"/>
                <w:kern w:val="0"/>
                <w:sz w:val="30"/>
                <w:szCs w:val="30"/>
                <w:lang w:bidi="ar"/>
              </w:rPr>
              <w:t>一般公共预算财政拨款支出决算表</w:t>
            </w:r>
          </w:p>
        </w:tc>
      </w:tr>
      <w:tr>
        <w:tblPrEx>
          <w:tblCellMar>
            <w:top w:w="0" w:type="dxa"/>
            <w:left w:w="108" w:type="dxa"/>
            <w:bottom w:w="0" w:type="dxa"/>
            <w:right w:w="108" w:type="dxa"/>
          </w:tblCellMar>
        </w:tblPrEx>
        <w:trPr>
          <w:trHeight w:val="264" w:hRule="atLeast"/>
        </w:trPr>
        <w:tc>
          <w:tcPr>
            <w:tcW w:w="1061"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06"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06"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894"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52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52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775" w:type="pct"/>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lang w:bidi="ar"/>
              </w:rPr>
              <w:t>公开05表</w:t>
            </w:r>
          </w:p>
        </w:tc>
      </w:tr>
      <w:tr>
        <w:tblPrEx>
          <w:tblCellMar>
            <w:top w:w="0" w:type="dxa"/>
            <w:left w:w="108" w:type="dxa"/>
            <w:bottom w:w="0" w:type="dxa"/>
            <w:right w:w="108" w:type="dxa"/>
          </w:tblCellMar>
        </w:tblPrEx>
        <w:trPr>
          <w:trHeight w:val="264" w:hRule="atLeast"/>
        </w:trPr>
        <w:tc>
          <w:tcPr>
            <w:tcW w:w="1061" w:type="pct"/>
            <w:tcBorders>
              <w:top w:val="nil"/>
              <w:left w:val="nil"/>
              <w:bottom w:val="nil"/>
              <w:right w:val="nil"/>
            </w:tcBorders>
            <w:shd w:val="clear" w:color="auto" w:fill="auto"/>
            <w:noWrap/>
            <w:vAlign w:val="bottom"/>
          </w:tcPr>
          <w:p>
            <w:pPr>
              <w:widowControl/>
              <w:jc w:val="left"/>
              <w:textAlignment w:val="bottom"/>
              <w:rPr>
                <w:rFonts w:ascii="宋体" w:hAnsi="宋体" w:cs="宋体"/>
                <w:color w:val="000000"/>
                <w:sz w:val="20"/>
                <w:szCs w:val="20"/>
              </w:rPr>
            </w:pPr>
            <w:r>
              <w:rPr>
                <w:rFonts w:hint="eastAsia" w:ascii="宋体" w:hAnsi="宋体" w:cs="宋体"/>
                <w:color w:val="000000"/>
                <w:kern w:val="0"/>
                <w:sz w:val="20"/>
                <w:szCs w:val="20"/>
                <w:lang w:bidi="ar"/>
              </w:rPr>
              <w:t>部门：开封市人民医院</w:t>
            </w:r>
          </w:p>
        </w:tc>
        <w:tc>
          <w:tcPr>
            <w:tcW w:w="106"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06"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894"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52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52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775" w:type="pct"/>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lang w:bidi="ar"/>
              </w:rPr>
              <w:t>金额单位：万元</w:t>
            </w:r>
          </w:p>
        </w:tc>
      </w:tr>
      <w:tr>
        <w:tblPrEx>
          <w:tblCellMar>
            <w:top w:w="0" w:type="dxa"/>
            <w:left w:w="108" w:type="dxa"/>
            <w:bottom w:w="0" w:type="dxa"/>
            <w:right w:w="108" w:type="dxa"/>
          </w:tblCellMar>
        </w:tblPrEx>
        <w:trPr>
          <w:trHeight w:val="308" w:hRule="atLeast"/>
        </w:trPr>
        <w:tc>
          <w:tcPr>
            <w:tcW w:w="3168"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项目</w:t>
            </w:r>
          </w:p>
        </w:tc>
        <w:tc>
          <w:tcPr>
            <w:tcW w:w="1831" w:type="pct"/>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本年支出</w:t>
            </w:r>
          </w:p>
        </w:tc>
      </w:tr>
      <w:tr>
        <w:tblPrEx>
          <w:tblCellMar>
            <w:top w:w="0" w:type="dxa"/>
            <w:left w:w="108" w:type="dxa"/>
            <w:bottom w:w="0" w:type="dxa"/>
            <w:right w:w="108" w:type="dxa"/>
          </w:tblCellMar>
        </w:tblPrEx>
        <w:trPr>
          <w:trHeight w:val="312" w:hRule="atLeast"/>
        </w:trPr>
        <w:tc>
          <w:tcPr>
            <w:tcW w:w="1273"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功能分类科目编码</w:t>
            </w:r>
          </w:p>
        </w:tc>
        <w:tc>
          <w:tcPr>
            <w:tcW w:w="1894" w:type="pct"/>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科目名称</w:t>
            </w:r>
          </w:p>
        </w:tc>
        <w:tc>
          <w:tcPr>
            <w:tcW w:w="528" w:type="pct"/>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小计</w:t>
            </w:r>
          </w:p>
        </w:tc>
        <w:tc>
          <w:tcPr>
            <w:tcW w:w="528" w:type="pct"/>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基本支出</w:t>
            </w:r>
          </w:p>
        </w:tc>
        <w:tc>
          <w:tcPr>
            <w:tcW w:w="775" w:type="pct"/>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项目支出</w:t>
            </w:r>
          </w:p>
        </w:tc>
      </w:tr>
      <w:tr>
        <w:tblPrEx>
          <w:tblCellMar>
            <w:top w:w="0" w:type="dxa"/>
            <w:left w:w="108" w:type="dxa"/>
            <w:bottom w:w="0" w:type="dxa"/>
            <w:right w:w="108" w:type="dxa"/>
          </w:tblCellMar>
        </w:tblPrEx>
        <w:trPr>
          <w:trHeight w:val="312" w:hRule="atLeast"/>
        </w:trPr>
        <w:tc>
          <w:tcPr>
            <w:tcW w:w="1273"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1894" w:type="pct"/>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cs="宋体"/>
                <w:color w:val="000000"/>
                <w:sz w:val="22"/>
              </w:rPr>
            </w:pPr>
          </w:p>
        </w:tc>
        <w:tc>
          <w:tcPr>
            <w:tcW w:w="528" w:type="pct"/>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528" w:type="pct"/>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775" w:type="pct"/>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r>
      <w:tr>
        <w:tblPrEx>
          <w:tblCellMar>
            <w:top w:w="0" w:type="dxa"/>
            <w:left w:w="108" w:type="dxa"/>
            <w:bottom w:w="0" w:type="dxa"/>
            <w:right w:w="108" w:type="dxa"/>
          </w:tblCellMar>
        </w:tblPrEx>
        <w:trPr>
          <w:trHeight w:val="312" w:hRule="atLeast"/>
        </w:trPr>
        <w:tc>
          <w:tcPr>
            <w:tcW w:w="1273"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1894" w:type="pct"/>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cs="宋体"/>
                <w:color w:val="000000"/>
                <w:sz w:val="22"/>
              </w:rPr>
            </w:pPr>
          </w:p>
        </w:tc>
        <w:tc>
          <w:tcPr>
            <w:tcW w:w="528" w:type="pct"/>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528" w:type="pct"/>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775" w:type="pct"/>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3168"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栏次</w:t>
            </w:r>
          </w:p>
        </w:tc>
        <w:tc>
          <w:tcPr>
            <w:tcW w:w="528"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w:t>
            </w:r>
          </w:p>
        </w:tc>
        <w:tc>
          <w:tcPr>
            <w:tcW w:w="528"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w:t>
            </w:r>
          </w:p>
        </w:tc>
        <w:tc>
          <w:tcPr>
            <w:tcW w:w="775"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w:t>
            </w:r>
          </w:p>
        </w:tc>
      </w:tr>
      <w:tr>
        <w:tblPrEx>
          <w:tblCellMar>
            <w:top w:w="0" w:type="dxa"/>
            <w:left w:w="108" w:type="dxa"/>
            <w:bottom w:w="0" w:type="dxa"/>
            <w:right w:w="108" w:type="dxa"/>
          </w:tblCellMar>
        </w:tblPrEx>
        <w:trPr>
          <w:trHeight w:val="308" w:hRule="atLeast"/>
        </w:trPr>
        <w:tc>
          <w:tcPr>
            <w:tcW w:w="3168"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合计</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b/>
                <w:bCs/>
                <w:color w:val="000000"/>
                <w:sz w:val="22"/>
              </w:rPr>
            </w:pPr>
            <w:r>
              <w:rPr>
                <w:rFonts w:hint="eastAsia" w:ascii="宋体" w:hAnsi="宋体" w:cs="宋体"/>
                <w:b/>
                <w:bCs/>
                <w:color w:val="000000"/>
                <w:kern w:val="0"/>
                <w:sz w:val="22"/>
                <w:lang w:bidi="ar"/>
              </w:rPr>
              <w:t>2,542.14</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b/>
                <w:bCs/>
                <w:color w:val="000000"/>
                <w:sz w:val="22"/>
              </w:rPr>
            </w:pPr>
            <w:r>
              <w:rPr>
                <w:rFonts w:hint="eastAsia" w:ascii="宋体" w:hAnsi="宋体" w:cs="宋体"/>
                <w:b/>
                <w:bCs/>
                <w:color w:val="000000"/>
                <w:kern w:val="0"/>
                <w:sz w:val="22"/>
                <w:lang w:bidi="ar"/>
              </w:rPr>
              <w:t>1,739.14</w:t>
            </w: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b/>
                <w:bCs/>
                <w:color w:val="000000"/>
                <w:sz w:val="22"/>
              </w:rPr>
            </w:pPr>
            <w:r>
              <w:rPr>
                <w:rFonts w:hint="eastAsia" w:ascii="宋体" w:hAnsi="宋体" w:cs="宋体"/>
                <w:b/>
                <w:bCs/>
                <w:color w:val="000000"/>
                <w:kern w:val="0"/>
                <w:sz w:val="22"/>
                <w:lang w:bidi="ar"/>
              </w:rPr>
              <w:t>803.00</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206</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科学技术支出</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0.83</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0.83</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20604</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技术研究与开发</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0.83</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0.83</w:t>
            </w:r>
          </w:p>
        </w:tc>
      </w:tr>
      <w:tr>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2060499</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其他技术研究与开发支出</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0.83</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0.83</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208</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社会保障和就业支出</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155.00</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155.00</w:t>
            </w:r>
          </w:p>
        </w:tc>
        <w:tc>
          <w:tcPr>
            <w:tcW w:w="77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20805</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行政事业单位养老支出</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155.00</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155.00</w:t>
            </w:r>
          </w:p>
        </w:tc>
        <w:tc>
          <w:tcPr>
            <w:tcW w:w="77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2080505</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机关事业单位基本养老保险缴费支出</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155.00</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155.00</w:t>
            </w:r>
          </w:p>
        </w:tc>
        <w:tc>
          <w:tcPr>
            <w:tcW w:w="775"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卫生健康支出</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2,297.51</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1,584.14</w:t>
            </w: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713.37</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21001</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卫生健康管理事务</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2100102</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一般行政管理事务</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21002</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公立医院</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1,778.44</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1,584.14</w:t>
            </w: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194.30</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2100201</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综合医院</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1,451.44</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1,334.14</w:t>
            </w: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117.30</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2100211</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处理医疗欠费</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1.00</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1.00</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2100299</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其他公立医院支出</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326.00</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250.00</w:t>
            </w: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76.00</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21003</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基层医疗卫生机构</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358.87</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358.87</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2100399</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其他基层医疗卫生机构支出</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358.87</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358.87</w:t>
            </w:r>
          </w:p>
        </w:tc>
      </w:tr>
      <w:tr>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21004</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公共卫生</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51.20</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51.20</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2100408</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基本公共卫生服务</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1.20</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1.20</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2100410</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突发公共卫生事件应急处理</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50.00</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50.00</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21099</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其他卫生健康支出</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104.00</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104.00</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2109999</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其他卫生健康支出</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104.00</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104.00</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213</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农林水支出</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1.81</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1.81</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21301</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农业农村</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1.61</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1.61</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2130199</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其他农业农村支出</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1.61</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1.61</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21305</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扶贫</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0.20</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0.20</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2130599</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其他扶贫支出</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0.20</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0.20</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224</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灾害防治及应急管理支出</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22407</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自然灾害救灾及恢复重建支出</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r>
      <w:tr>
        <w:tblPrEx>
          <w:tblCellMar>
            <w:top w:w="0" w:type="dxa"/>
            <w:left w:w="108" w:type="dxa"/>
            <w:bottom w:w="0" w:type="dxa"/>
            <w:right w:w="108" w:type="dxa"/>
          </w:tblCellMar>
        </w:tblPrEx>
        <w:trPr>
          <w:trHeight w:val="308" w:hRule="atLeast"/>
        </w:trPr>
        <w:tc>
          <w:tcPr>
            <w:tcW w:w="1273"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2240704</w:t>
            </w:r>
          </w:p>
        </w:tc>
        <w:tc>
          <w:tcPr>
            <w:tcW w:w="1894" w:type="pct"/>
            <w:tcBorders>
              <w:top w:val="nil"/>
              <w:left w:val="nil"/>
              <w:bottom w:val="single" w:color="000000" w:sz="4" w:space="0"/>
              <w:right w:val="single" w:color="000000" w:sz="4" w:space="0"/>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自然灾害灾后重建补助</w:t>
            </w:r>
          </w:p>
        </w:tc>
        <w:tc>
          <w:tcPr>
            <w:tcW w:w="528"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c>
          <w:tcPr>
            <w:tcW w:w="52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75" w:type="pct"/>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87.00</w:t>
            </w:r>
          </w:p>
        </w:tc>
      </w:tr>
      <w:tr>
        <w:tblPrEx>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注：本表反映部门本年度一般公共预算财政拨款支出情况。</w:t>
            </w:r>
          </w:p>
        </w:tc>
      </w:tr>
    </w:tbl>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tbl>
      <w:tblPr>
        <w:tblStyle w:val="5"/>
        <w:tblW w:w="14420" w:type="dxa"/>
        <w:tblInd w:w="0" w:type="dxa"/>
        <w:tblLayout w:type="fixed"/>
        <w:tblCellMar>
          <w:top w:w="0" w:type="dxa"/>
          <w:left w:w="108" w:type="dxa"/>
          <w:bottom w:w="0" w:type="dxa"/>
          <w:right w:w="108" w:type="dxa"/>
        </w:tblCellMar>
      </w:tblPr>
      <w:tblGrid>
        <w:gridCol w:w="854"/>
        <w:gridCol w:w="2920"/>
        <w:gridCol w:w="1172"/>
        <w:gridCol w:w="894"/>
        <w:gridCol w:w="2094"/>
        <w:gridCol w:w="933"/>
        <w:gridCol w:w="1120"/>
        <w:gridCol w:w="3400"/>
        <w:gridCol w:w="1033"/>
      </w:tblGrid>
      <w:tr>
        <w:tblPrEx>
          <w:tblCellMar>
            <w:top w:w="0" w:type="dxa"/>
            <w:left w:w="108" w:type="dxa"/>
            <w:bottom w:w="0" w:type="dxa"/>
            <w:right w:w="108" w:type="dxa"/>
          </w:tblCellMar>
        </w:tblPrEx>
        <w:trPr>
          <w:trHeight w:val="384" w:hRule="atLeast"/>
        </w:trPr>
        <w:tc>
          <w:tcPr>
            <w:tcW w:w="14420" w:type="dxa"/>
            <w:gridSpan w:val="9"/>
            <w:tcBorders>
              <w:top w:val="nil"/>
              <w:left w:val="nil"/>
              <w:bottom w:val="nil"/>
              <w:right w:val="nil"/>
            </w:tcBorders>
            <w:shd w:val="clear" w:color="auto" w:fill="auto"/>
            <w:noWrap/>
            <w:vAlign w:val="bottom"/>
          </w:tcPr>
          <w:p>
            <w:pPr>
              <w:widowControl/>
              <w:jc w:val="center"/>
              <w:textAlignment w:val="bottom"/>
              <w:rPr>
                <w:rFonts w:ascii="宋体" w:hAnsi="宋体" w:cs="宋体"/>
                <w:color w:val="000000"/>
                <w:sz w:val="30"/>
                <w:szCs w:val="30"/>
              </w:rPr>
            </w:pPr>
            <w:r>
              <w:rPr>
                <w:rFonts w:hint="eastAsia" w:ascii="宋体" w:hAnsi="宋体" w:cs="宋体"/>
                <w:color w:val="000000"/>
                <w:kern w:val="0"/>
                <w:sz w:val="30"/>
                <w:szCs w:val="30"/>
                <w:lang w:bidi="ar"/>
              </w:rPr>
              <w:t>一般公共预算财政拨款基本支出决算表</w:t>
            </w:r>
          </w:p>
        </w:tc>
      </w:tr>
      <w:tr>
        <w:tblPrEx>
          <w:tblCellMar>
            <w:top w:w="0" w:type="dxa"/>
            <w:left w:w="108" w:type="dxa"/>
            <w:bottom w:w="0" w:type="dxa"/>
            <w:right w:w="108" w:type="dxa"/>
          </w:tblCellMar>
        </w:tblPrEx>
        <w:trPr>
          <w:trHeight w:val="264" w:hRule="atLeast"/>
        </w:trPr>
        <w:tc>
          <w:tcPr>
            <w:tcW w:w="85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92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172"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89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09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93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12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433" w:type="dxa"/>
            <w:gridSpan w:val="2"/>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公开06表</w:t>
            </w:r>
          </w:p>
        </w:tc>
      </w:tr>
      <w:tr>
        <w:tblPrEx>
          <w:tblCellMar>
            <w:top w:w="0" w:type="dxa"/>
            <w:left w:w="108" w:type="dxa"/>
            <w:bottom w:w="0" w:type="dxa"/>
            <w:right w:w="108" w:type="dxa"/>
          </w:tblCellMar>
        </w:tblPrEx>
        <w:trPr>
          <w:trHeight w:val="264" w:hRule="atLeast"/>
        </w:trPr>
        <w:tc>
          <w:tcPr>
            <w:tcW w:w="3774" w:type="dxa"/>
            <w:gridSpan w:val="2"/>
            <w:tcBorders>
              <w:top w:val="nil"/>
              <w:left w:val="nil"/>
              <w:bottom w:val="nil"/>
              <w:right w:val="nil"/>
            </w:tcBorders>
            <w:shd w:val="clear" w:color="auto" w:fill="auto"/>
            <w:noWrap/>
            <w:vAlign w:val="bottom"/>
          </w:tcPr>
          <w:p>
            <w:pPr>
              <w:rPr>
                <w:rFonts w:ascii="Arial" w:hAnsi="Arial" w:cs="Arial"/>
                <w:color w:val="000000"/>
                <w:sz w:val="20"/>
                <w:szCs w:val="20"/>
              </w:rPr>
            </w:pPr>
            <w:r>
              <w:rPr>
                <w:rFonts w:hint="eastAsia" w:ascii="宋体" w:hAnsi="宋体" w:cs="宋体"/>
                <w:color w:val="000000"/>
                <w:kern w:val="0"/>
                <w:sz w:val="20"/>
                <w:szCs w:val="20"/>
                <w:lang w:bidi="ar"/>
              </w:rPr>
              <w:t>部门：开封市人民医院</w:t>
            </w:r>
          </w:p>
        </w:tc>
        <w:tc>
          <w:tcPr>
            <w:tcW w:w="1172"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89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094"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933"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1120" w:type="dxa"/>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433" w:type="dxa"/>
            <w:gridSpan w:val="2"/>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18"/>
                <w:szCs w:val="18"/>
              </w:rPr>
            </w:pPr>
            <w:r>
              <w:rPr>
                <w:rFonts w:hint="eastAsia" w:ascii="宋体" w:hAnsi="宋体" w:cs="宋体"/>
                <w:color w:val="000000"/>
                <w:kern w:val="0"/>
                <w:sz w:val="18"/>
                <w:szCs w:val="18"/>
                <w:lang w:bidi="ar"/>
              </w:rPr>
              <w:t>金额单位：万元</w:t>
            </w:r>
          </w:p>
        </w:tc>
      </w:tr>
      <w:tr>
        <w:tblPrEx>
          <w:tblCellMar>
            <w:top w:w="0" w:type="dxa"/>
            <w:left w:w="108" w:type="dxa"/>
            <w:bottom w:w="0" w:type="dxa"/>
            <w:right w:w="108" w:type="dxa"/>
          </w:tblCellMar>
        </w:tblPrEx>
        <w:trPr>
          <w:trHeight w:val="308" w:hRule="atLeast"/>
        </w:trPr>
        <w:tc>
          <w:tcPr>
            <w:tcW w:w="4946"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人员经费</w:t>
            </w:r>
          </w:p>
        </w:tc>
        <w:tc>
          <w:tcPr>
            <w:tcW w:w="9474" w:type="dxa"/>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公用经费</w:t>
            </w:r>
          </w:p>
        </w:tc>
      </w:tr>
      <w:tr>
        <w:tblPrEx>
          <w:tblCellMar>
            <w:top w:w="0" w:type="dxa"/>
            <w:left w:w="108" w:type="dxa"/>
            <w:bottom w:w="0" w:type="dxa"/>
            <w:right w:w="108" w:type="dxa"/>
          </w:tblCellMar>
        </w:tblPrEx>
        <w:trPr>
          <w:trHeight w:val="312" w:hRule="atLeast"/>
        </w:trPr>
        <w:tc>
          <w:tcPr>
            <w:tcW w:w="854"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科目编码</w:t>
            </w:r>
          </w:p>
        </w:tc>
        <w:tc>
          <w:tcPr>
            <w:tcW w:w="292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科目名称</w:t>
            </w:r>
          </w:p>
        </w:tc>
        <w:tc>
          <w:tcPr>
            <w:tcW w:w="1172"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决算数</w:t>
            </w:r>
          </w:p>
        </w:tc>
        <w:tc>
          <w:tcPr>
            <w:tcW w:w="894"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科目编码</w:t>
            </w:r>
          </w:p>
        </w:tc>
        <w:tc>
          <w:tcPr>
            <w:tcW w:w="2094"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科目名称</w:t>
            </w:r>
          </w:p>
        </w:tc>
        <w:tc>
          <w:tcPr>
            <w:tcW w:w="933"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决算数</w:t>
            </w:r>
          </w:p>
        </w:tc>
        <w:tc>
          <w:tcPr>
            <w:tcW w:w="112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科目编码</w:t>
            </w:r>
          </w:p>
        </w:tc>
        <w:tc>
          <w:tcPr>
            <w:tcW w:w="3400"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科目名称</w:t>
            </w:r>
          </w:p>
        </w:tc>
        <w:tc>
          <w:tcPr>
            <w:tcW w:w="1033" w:type="dxa"/>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决算数</w:t>
            </w:r>
          </w:p>
        </w:tc>
      </w:tr>
      <w:tr>
        <w:tblPrEx>
          <w:tblCellMar>
            <w:top w:w="0" w:type="dxa"/>
            <w:left w:w="108" w:type="dxa"/>
            <w:bottom w:w="0" w:type="dxa"/>
            <w:right w:w="108" w:type="dxa"/>
          </w:tblCellMar>
        </w:tblPrEx>
        <w:trPr>
          <w:trHeight w:val="312" w:hRule="atLeast"/>
        </w:trPr>
        <w:tc>
          <w:tcPr>
            <w:tcW w:w="854"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292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1172"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894"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2094"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933"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112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3400"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1033" w:type="dxa"/>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r>
      <w:tr>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301</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工资福利支出</w:t>
            </w:r>
          </w:p>
        </w:tc>
        <w:tc>
          <w:tcPr>
            <w:tcW w:w="117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1,489.14</w:t>
            </w: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商品和服务支出</w:t>
            </w:r>
          </w:p>
        </w:tc>
        <w:tc>
          <w:tcPr>
            <w:tcW w:w="93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250.00</w:t>
            </w: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307</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债务利息及费用支出</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30101</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基本工资</w:t>
            </w:r>
          </w:p>
        </w:tc>
        <w:tc>
          <w:tcPr>
            <w:tcW w:w="117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1,334.14</w:t>
            </w: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30201</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办公费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30701</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国内债务付息</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30102</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津贴补贴</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30202</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印刷费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30702</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国外债务付息</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30103</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奖金</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30203</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咨询费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资本性支出</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30106</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伙食补助费</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30204</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手续费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31001</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房屋建筑物购建</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30107</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绩效工资</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30205</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水费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31002</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办公设备购置</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30108</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机关事业单位基本养老保险缴费</w:t>
            </w:r>
          </w:p>
        </w:tc>
        <w:tc>
          <w:tcPr>
            <w:tcW w:w="117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155.00</w:t>
            </w: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30206</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电费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31003</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专用设备购置</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30109</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职业年金缴费</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30207</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邮电费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31005</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基础设施建设</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30110</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职工基本医疗保险缴费</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30208</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取暖费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31006</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大型修缮</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30111</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公务员医疗补助缴费</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30209</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物业管理费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31007</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信息网络及软件购置更新</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30112</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其他社会保障缴费</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30211</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差旅费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31008</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物资储备</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30113</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住房公积金</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30212</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因公出国（境）费用</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31009</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土地补偿</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30114</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医疗费</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30213</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维修（护）费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31010</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安置补助</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30199</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其他工资福利支出</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30214</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租赁费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31011</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地上附着物和青苗补偿</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303</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对个人和家庭的补助</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30215</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会议费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31012</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拆迁补偿</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30301</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离休费</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30216</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培训费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31013</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公务用车购置</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30302</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退休费</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30217</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公务接待费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31019</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其他交通工具购置</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30303</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退职（役）费</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30218</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专用材料费</w:t>
            </w:r>
          </w:p>
        </w:tc>
        <w:tc>
          <w:tcPr>
            <w:tcW w:w="93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250.00</w:t>
            </w: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31021</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文物和陈列品购置</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30304</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抚恤金</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30224</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被装购置费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31022</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无形资产购置</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30305</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生活补助</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30225</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专用燃料费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31099</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其他资本性支出</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30306</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救济费</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30226</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劳务费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399</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其他支出</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30307</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医疗费补助</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30227</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委托业务费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39906</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赠与</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30308</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助学金</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30228</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工会经费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39907</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国家赔偿费用支出</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30309</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奖励金</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30229</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福利费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39908</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对民间非营利组织和群众性自治组织补贴</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30310</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个人农业生产补贴</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30231</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公务用车运行维护费</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39999</w:t>
            </w:r>
          </w:p>
        </w:tc>
        <w:tc>
          <w:tcPr>
            <w:tcW w:w="340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其他支出</w:t>
            </w: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30311</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代缴社会保险费</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30239</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其他交通费用</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3400"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30399</w:t>
            </w:r>
          </w:p>
        </w:tc>
        <w:tc>
          <w:tcPr>
            <w:tcW w:w="2920"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其他对个人和家庭的补助</w:t>
            </w: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30240</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税金及附加费用</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3400"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854"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2920"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1172"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8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30299</w:t>
            </w:r>
          </w:p>
        </w:tc>
        <w:tc>
          <w:tcPr>
            <w:tcW w:w="2094" w:type="dxa"/>
            <w:tcBorders>
              <w:top w:val="nil"/>
              <w:left w:val="nil"/>
              <w:bottom w:val="single" w:color="000000" w:sz="4" w:space="0"/>
              <w:right w:val="single" w:color="000000" w:sz="4" w:space="0"/>
            </w:tcBorders>
            <w:shd w:val="clear" w:color="FFFFFF" w:fill="C0C0C0"/>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 xml:space="preserve">  其他商品和服务支出</w:t>
            </w:r>
          </w:p>
        </w:tc>
        <w:tc>
          <w:tcPr>
            <w:tcW w:w="9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1120"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3400" w:type="dxa"/>
            <w:tcBorders>
              <w:top w:val="nil"/>
              <w:left w:val="nil"/>
              <w:bottom w:val="single" w:color="000000" w:sz="4" w:space="0"/>
              <w:right w:val="single" w:color="000000" w:sz="4" w:space="0"/>
            </w:tcBorders>
            <w:shd w:val="clear" w:color="FFFFFF" w:fill="C0C0C0"/>
            <w:noWrap/>
            <w:vAlign w:val="center"/>
          </w:tcPr>
          <w:p>
            <w:pPr>
              <w:jc w:val="left"/>
              <w:rPr>
                <w:rFonts w:ascii="宋体" w:hAnsi="宋体" w:cs="宋体"/>
                <w:color w:val="000000"/>
                <w:sz w:val="22"/>
              </w:rPr>
            </w:pPr>
          </w:p>
        </w:tc>
        <w:tc>
          <w:tcPr>
            <w:tcW w:w="1033" w:type="dxa"/>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rPr>
          <w:trHeight w:val="308" w:hRule="atLeast"/>
        </w:trPr>
        <w:tc>
          <w:tcPr>
            <w:tcW w:w="3774" w:type="dxa"/>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人员经费合计</w:t>
            </w:r>
          </w:p>
        </w:tc>
        <w:tc>
          <w:tcPr>
            <w:tcW w:w="1172"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1,489.14</w:t>
            </w:r>
          </w:p>
        </w:tc>
        <w:tc>
          <w:tcPr>
            <w:tcW w:w="8441" w:type="dxa"/>
            <w:gridSpan w:val="5"/>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公用经费合计</w:t>
            </w:r>
          </w:p>
        </w:tc>
        <w:tc>
          <w:tcPr>
            <w:tcW w:w="1033" w:type="dxa"/>
            <w:tcBorders>
              <w:top w:val="nil"/>
              <w:left w:val="nil"/>
              <w:bottom w:val="single" w:color="000000" w:sz="4" w:space="0"/>
              <w:right w:val="single" w:color="000000" w:sz="4" w:space="0"/>
            </w:tcBorders>
            <w:shd w:val="clear" w:color="auto" w:fill="auto"/>
            <w:noWrap/>
            <w:vAlign w:val="center"/>
          </w:tcPr>
          <w:p>
            <w:pPr>
              <w:widowControl/>
              <w:jc w:val="right"/>
              <w:textAlignment w:val="center"/>
              <w:rPr>
                <w:rFonts w:ascii="宋体" w:hAnsi="宋体" w:cs="宋体"/>
                <w:color w:val="000000"/>
                <w:sz w:val="22"/>
              </w:rPr>
            </w:pPr>
            <w:r>
              <w:rPr>
                <w:rFonts w:hint="eastAsia" w:ascii="宋体" w:hAnsi="宋体" w:cs="宋体"/>
                <w:color w:val="000000"/>
                <w:kern w:val="0"/>
                <w:sz w:val="22"/>
                <w:lang w:bidi="ar"/>
              </w:rPr>
              <w:t>250.00</w:t>
            </w:r>
          </w:p>
        </w:tc>
      </w:tr>
      <w:tr>
        <w:tblPrEx>
          <w:tblCellMar>
            <w:top w:w="0" w:type="dxa"/>
            <w:left w:w="108" w:type="dxa"/>
            <w:bottom w:w="0" w:type="dxa"/>
            <w:right w:w="108" w:type="dxa"/>
          </w:tblCellMar>
        </w:tblPrEx>
        <w:trPr>
          <w:trHeight w:val="308" w:hRule="atLeast"/>
        </w:trPr>
        <w:tc>
          <w:tcPr>
            <w:tcW w:w="14420" w:type="dxa"/>
            <w:gridSpan w:val="9"/>
            <w:tcBorders>
              <w:top w:val="nil"/>
              <w:left w:val="nil"/>
              <w:bottom w:val="nil"/>
              <w:right w:val="nil"/>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注：本表反映部门本年度一般公共预算财政拨款基本支出明细情况。</w:t>
            </w:r>
          </w:p>
        </w:tc>
      </w:tr>
    </w:tbl>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tbl>
      <w:tblPr>
        <w:tblStyle w:val="5"/>
        <w:tblW w:w="0" w:type="auto"/>
        <w:tblInd w:w="0" w:type="dxa"/>
        <w:tblLayout w:type="autofit"/>
        <w:tblCellMar>
          <w:top w:w="0" w:type="dxa"/>
          <w:left w:w="108" w:type="dxa"/>
          <w:bottom w:w="0" w:type="dxa"/>
          <w:right w:w="108" w:type="dxa"/>
        </w:tblCellMar>
      </w:tblPr>
      <w:tblGrid>
        <w:gridCol w:w="2216"/>
        <w:gridCol w:w="1501"/>
        <w:gridCol w:w="566"/>
        <w:gridCol w:w="1177"/>
        <w:gridCol w:w="1177"/>
        <w:gridCol w:w="933"/>
        <w:gridCol w:w="566"/>
        <w:gridCol w:w="1502"/>
        <w:gridCol w:w="566"/>
        <w:gridCol w:w="1177"/>
        <w:gridCol w:w="1177"/>
        <w:gridCol w:w="1616"/>
      </w:tblGrid>
      <w:tr>
        <w:tblPrEx>
          <w:tblCellMar>
            <w:top w:w="0" w:type="dxa"/>
            <w:left w:w="108" w:type="dxa"/>
            <w:bottom w:w="0" w:type="dxa"/>
            <w:right w:w="108" w:type="dxa"/>
          </w:tblCellMar>
        </w:tblPrEx>
        <w:trPr>
          <w:trHeight w:val="564" w:hRule="atLeast"/>
        </w:trPr>
        <w:tc>
          <w:tcPr>
            <w:tcW w:w="0" w:type="auto"/>
            <w:gridSpan w:val="12"/>
            <w:tcBorders>
              <w:top w:val="nil"/>
              <w:left w:val="nil"/>
              <w:bottom w:val="nil"/>
              <w:right w:val="nil"/>
            </w:tcBorders>
            <w:shd w:val="clear" w:color="auto" w:fill="auto"/>
            <w:noWrap/>
            <w:vAlign w:val="bottom"/>
          </w:tcPr>
          <w:p>
            <w:pPr>
              <w:widowControl/>
              <w:jc w:val="center"/>
              <w:textAlignment w:val="bottom"/>
              <w:rPr>
                <w:rFonts w:ascii="宋体" w:hAnsi="宋体" w:cs="宋体"/>
                <w:color w:val="000000"/>
                <w:sz w:val="44"/>
                <w:szCs w:val="44"/>
              </w:rPr>
            </w:pPr>
            <w:r>
              <w:rPr>
                <w:rFonts w:hint="eastAsia" w:ascii="宋体" w:hAnsi="宋体" w:cs="宋体"/>
                <w:color w:val="000000"/>
                <w:kern w:val="0"/>
                <w:sz w:val="44"/>
                <w:szCs w:val="44"/>
                <w:lang w:bidi="ar"/>
              </w:rPr>
              <w:t>一般公共预算财政拨款“三公”经费支出决算表</w:t>
            </w:r>
          </w:p>
        </w:tc>
      </w:tr>
      <w:tr>
        <w:tblPrEx>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lang w:bidi="ar"/>
              </w:rPr>
              <w:t>公开07表</w:t>
            </w:r>
          </w:p>
        </w:tc>
      </w:tr>
      <w:tr>
        <w:tblPrEx>
          <w:tblCellMar>
            <w:top w:w="0" w:type="dxa"/>
            <w:left w:w="108" w:type="dxa"/>
            <w:bottom w:w="0" w:type="dxa"/>
            <w:right w:w="108" w:type="dxa"/>
          </w:tblCellMar>
        </w:tblPrEx>
        <w:trPr>
          <w:trHeight w:val="264" w:hRule="atLeast"/>
        </w:trPr>
        <w:tc>
          <w:tcPr>
            <w:tcW w:w="0" w:type="auto"/>
            <w:tcBorders>
              <w:top w:val="nil"/>
              <w:left w:val="nil"/>
              <w:bottom w:val="nil"/>
              <w:right w:val="nil"/>
            </w:tcBorders>
            <w:shd w:val="clear" w:color="auto" w:fill="auto"/>
            <w:noWrap/>
            <w:vAlign w:val="bottom"/>
          </w:tcPr>
          <w:p>
            <w:pPr>
              <w:widowControl/>
              <w:jc w:val="left"/>
              <w:textAlignment w:val="bottom"/>
              <w:rPr>
                <w:rFonts w:ascii="宋体" w:hAnsi="宋体" w:cs="宋体"/>
                <w:color w:val="000000"/>
                <w:sz w:val="20"/>
                <w:szCs w:val="20"/>
              </w:rPr>
            </w:pPr>
            <w:r>
              <w:rPr>
                <w:rFonts w:hint="eastAsia" w:ascii="宋体" w:hAnsi="宋体" w:cs="宋体"/>
                <w:color w:val="000000"/>
                <w:kern w:val="0"/>
                <w:sz w:val="20"/>
                <w:szCs w:val="20"/>
                <w:lang w:bidi="ar"/>
              </w:rPr>
              <w:t>部门：开封市人民医院</w:t>
            </w: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0" w:type="auto"/>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lang w:bidi="ar"/>
              </w:rPr>
              <w:t>金额单位：万元</w:t>
            </w:r>
          </w:p>
        </w:tc>
      </w:tr>
      <w:tr>
        <w:tblPrEx>
          <w:tblCellMar>
            <w:top w:w="0" w:type="dxa"/>
            <w:left w:w="108" w:type="dxa"/>
            <w:bottom w:w="0" w:type="dxa"/>
            <w:right w:w="108" w:type="dxa"/>
          </w:tblCellMar>
        </w:tblPrEx>
        <w:trPr>
          <w:trHeight w:val="308"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预算数</w:t>
            </w:r>
          </w:p>
        </w:tc>
        <w:tc>
          <w:tcPr>
            <w:tcW w:w="0" w:type="auto"/>
            <w:gridSpan w:val="6"/>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决算数</w:t>
            </w:r>
          </w:p>
        </w:tc>
      </w:tr>
      <w:tr>
        <w:trPr>
          <w:trHeight w:val="308" w:hRule="atLeast"/>
        </w:trPr>
        <w:tc>
          <w:tcPr>
            <w:tcW w:w="0" w:type="auto"/>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合计</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因公出国（境）费</w:t>
            </w:r>
          </w:p>
        </w:tc>
        <w:tc>
          <w:tcPr>
            <w:tcW w:w="0" w:type="auto"/>
            <w:gridSpan w:val="3"/>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公务用车购置及运行费</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公务接待费</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合计</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因公出国（境）费</w:t>
            </w:r>
          </w:p>
        </w:tc>
        <w:tc>
          <w:tcPr>
            <w:tcW w:w="0" w:type="auto"/>
            <w:gridSpan w:val="3"/>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公务用车购置及运行费</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公务接待费</w:t>
            </w:r>
          </w:p>
        </w:tc>
      </w:tr>
      <w:tr>
        <w:tblPrEx>
          <w:tblCellMar>
            <w:top w:w="0" w:type="dxa"/>
            <w:left w:w="108" w:type="dxa"/>
            <w:bottom w:w="0" w:type="dxa"/>
            <w:right w:w="108" w:type="dxa"/>
          </w:tblCellMar>
        </w:tblPrEx>
        <w:trPr>
          <w:trHeight w:val="615" w:hRule="atLeast"/>
        </w:trPr>
        <w:tc>
          <w:tcPr>
            <w:tcW w:w="0" w:type="auto"/>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小计</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公务用车购置费</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公务用车运行费</w:t>
            </w:r>
          </w:p>
        </w:tc>
        <w:tc>
          <w:tcPr>
            <w:tcW w:w="0" w:type="auto"/>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小计</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公务用车购置费</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公务用车运行费</w:t>
            </w:r>
          </w:p>
        </w:tc>
        <w:tc>
          <w:tcPr>
            <w:tcW w:w="0" w:type="auto"/>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4</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5</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6</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7</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8</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9</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10</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11</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12</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615" w:hRule="atLeast"/>
        </w:trPr>
        <w:tc>
          <w:tcPr>
            <w:tcW w:w="0" w:type="auto"/>
            <w:gridSpan w:val="12"/>
            <w:tcBorders>
              <w:top w:val="nil"/>
              <w:left w:val="nil"/>
              <w:bottom w:val="nil"/>
              <w:right w:val="nil"/>
            </w:tcBorders>
            <w:shd w:val="clear" w:color="auto" w:fill="auto"/>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注：本表反映部门本年度“三公”经费支出预决算情况。其中，预算数为“三公”经费年初预算数；决算数是包括当年一般公共预算财政拨款和以前年度结转资金安排的实际支出。</w:t>
            </w:r>
          </w:p>
        </w:tc>
      </w:tr>
    </w:tbl>
    <w:p>
      <w:pPr>
        <w:rPr>
          <w:rFonts w:ascii="仿宋_GB2312" w:hAnsi="仿宋_GB2312" w:eastAsia="仿宋_GB2312" w:cs="仿宋_GB2312"/>
          <w:sz w:val="32"/>
          <w:szCs w:val="32"/>
        </w:rPr>
      </w:pPr>
      <w:r>
        <w:rPr>
          <w:rFonts w:hint="eastAsia" w:ascii="仿宋_GB2312" w:hAnsi="仿宋_GB2312" w:eastAsia="仿宋_GB2312" w:cs="仿宋_GB2312"/>
          <w:sz w:val="32"/>
          <w:szCs w:val="32"/>
        </w:rPr>
        <w:t>说明：我</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没有</w:t>
      </w:r>
      <w:r>
        <w:rPr>
          <w:rFonts w:hint="eastAsia" w:ascii="仿宋_GB2312" w:hAnsi="仿宋_GB2312" w:eastAsia="仿宋_GB2312" w:cs="仿宋_GB2312"/>
          <w:sz w:val="32"/>
          <w:szCs w:val="32"/>
          <w:lang w:val="en-US" w:eastAsia="zh-CN"/>
        </w:rPr>
        <w:t>三公经费</w:t>
      </w:r>
      <w:r>
        <w:rPr>
          <w:rFonts w:hint="eastAsia" w:ascii="仿宋_GB2312" w:hAnsi="仿宋_GB2312" w:eastAsia="仿宋_GB2312" w:cs="仿宋_GB2312"/>
          <w:sz w:val="32"/>
          <w:szCs w:val="32"/>
        </w:rPr>
        <w:t>收入，也没有使用</w:t>
      </w:r>
      <w:r>
        <w:rPr>
          <w:rFonts w:hint="eastAsia" w:ascii="仿宋_GB2312" w:hAnsi="仿宋_GB2312" w:eastAsia="仿宋_GB2312" w:cs="仿宋_GB2312"/>
          <w:sz w:val="32"/>
          <w:szCs w:val="32"/>
          <w:lang w:val="en-US" w:eastAsia="zh-CN"/>
        </w:rPr>
        <w:t>三公经费</w:t>
      </w:r>
      <w:r>
        <w:rPr>
          <w:rFonts w:hint="eastAsia" w:ascii="仿宋_GB2312" w:hAnsi="仿宋_GB2312" w:eastAsia="仿宋_GB2312" w:cs="仿宋_GB2312"/>
          <w:sz w:val="32"/>
          <w:szCs w:val="32"/>
        </w:rPr>
        <w:t>支出，故本表无数据。</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bookmarkStart w:id="0" w:name="_GoBack"/>
      <w:bookmarkEnd w:id="0"/>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tbl>
      <w:tblPr>
        <w:tblStyle w:val="5"/>
        <w:tblW w:w="5000" w:type="pct"/>
        <w:tblInd w:w="0" w:type="dxa"/>
        <w:tblLayout w:type="autofit"/>
        <w:tblCellMar>
          <w:top w:w="0" w:type="dxa"/>
          <w:left w:w="108" w:type="dxa"/>
          <w:bottom w:w="0" w:type="dxa"/>
          <w:right w:w="108" w:type="dxa"/>
        </w:tblCellMar>
      </w:tblPr>
      <w:tblGrid>
        <w:gridCol w:w="2801"/>
        <w:gridCol w:w="278"/>
        <w:gridCol w:w="281"/>
        <w:gridCol w:w="1386"/>
        <w:gridCol w:w="2217"/>
        <w:gridCol w:w="1383"/>
        <w:gridCol w:w="828"/>
        <w:gridCol w:w="1383"/>
        <w:gridCol w:w="1386"/>
        <w:gridCol w:w="2231"/>
      </w:tblGrid>
      <w:tr>
        <w:tblPrEx>
          <w:tblCellMar>
            <w:top w:w="0" w:type="dxa"/>
            <w:left w:w="108" w:type="dxa"/>
            <w:bottom w:w="0" w:type="dxa"/>
            <w:right w:w="108" w:type="dxa"/>
          </w:tblCellMar>
        </w:tblPrEx>
        <w:trPr>
          <w:trHeight w:val="384" w:hRule="atLeast"/>
        </w:trPr>
        <w:tc>
          <w:tcPr>
            <w:tcW w:w="5000" w:type="pct"/>
            <w:gridSpan w:val="10"/>
            <w:tcBorders>
              <w:top w:val="nil"/>
              <w:left w:val="nil"/>
              <w:bottom w:val="nil"/>
              <w:right w:val="nil"/>
            </w:tcBorders>
            <w:shd w:val="clear" w:color="auto" w:fill="auto"/>
            <w:noWrap/>
            <w:vAlign w:val="bottom"/>
          </w:tcPr>
          <w:p>
            <w:pPr>
              <w:widowControl/>
              <w:jc w:val="center"/>
              <w:textAlignment w:val="bottom"/>
              <w:rPr>
                <w:rFonts w:ascii="宋体" w:hAnsi="宋体" w:cs="宋体"/>
                <w:color w:val="000000"/>
                <w:sz w:val="30"/>
                <w:szCs w:val="30"/>
              </w:rPr>
            </w:pPr>
            <w:r>
              <w:rPr>
                <w:rFonts w:hint="eastAsia" w:ascii="宋体" w:hAnsi="宋体" w:cs="宋体"/>
                <w:color w:val="000000"/>
                <w:kern w:val="0"/>
                <w:sz w:val="30"/>
                <w:szCs w:val="30"/>
                <w:lang w:bidi="ar"/>
              </w:rPr>
              <w:t>政府性基金预算财政拨款收入支出决算表</w:t>
            </w:r>
          </w:p>
        </w:tc>
      </w:tr>
      <w:tr>
        <w:tblPrEx>
          <w:tblCellMar>
            <w:top w:w="0" w:type="dxa"/>
            <w:left w:w="108" w:type="dxa"/>
            <w:bottom w:w="0" w:type="dxa"/>
            <w:right w:w="108" w:type="dxa"/>
          </w:tblCellMar>
        </w:tblPrEx>
        <w:trPr>
          <w:trHeight w:val="264" w:hRule="atLeast"/>
        </w:trPr>
        <w:tc>
          <w:tcPr>
            <w:tcW w:w="98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9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9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8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782"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8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92"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8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8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784" w:type="pct"/>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lang w:bidi="ar"/>
              </w:rPr>
              <w:t>公开08表</w:t>
            </w:r>
          </w:p>
        </w:tc>
      </w:tr>
      <w:tr>
        <w:tblPrEx>
          <w:tblCellMar>
            <w:top w:w="0" w:type="dxa"/>
            <w:left w:w="108" w:type="dxa"/>
            <w:bottom w:w="0" w:type="dxa"/>
            <w:right w:w="108" w:type="dxa"/>
          </w:tblCellMar>
        </w:tblPrEx>
        <w:trPr>
          <w:trHeight w:val="264" w:hRule="atLeast"/>
        </w:trPr>
        <w:tc>
          <w:tcPr>
            <w:tcW w:w="988" w:type="pct"/>
            <w:tcBorders>
              <w:top w:val="nil"/>
              <w:left w:val="nil"/>
              <w:bottom w:val="nil"/>
              <w:right w:val="nil"/>
            </w:tcBorders>
            <w:shd w:val="clear" w:color="auto" w:fill="auto"/>
            <w:noWrap/>
            <w:vAlign w:val="bottom"/>
          </w:tcPr>
          <w:p>
            <w:pPr>
              <w:widowControl/>
              <w:jc w:val="left"/>
              <w:textAlignment w:val="bottom"/>
              <w:rPr>
                <w:rFonts w:ascii="宋体" w:hAnsi="宋体" w:cs="宋体"/>
                <w:color w:val="000000"/>
                <w:sz w:val="20"/>
                <w:szCs w:val="20"/>
              </w:rPr>
            </w:pPr>
            <w:r>
              <w:rPr>
                <w:rFonts w:hint="eastAsia" w:ascii="宋体" w:hAnsi="宋体" w:cs="宋体"/>
                <w:color w:val="000000"/>
                <w:kern w:val="0"/>
                <w:sz w:val="20"/>
                <w:szCs w:val="20"/>
                <w:lang w:bidi="ar"/>
              </w:rPr>
              <w:t>部门：开封市人民医院</w:t>
            </w:r>
          </w:p>
        </w:tc>
        <w:tc>
          <w:tcPr>
            <w:tcW w:w="9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9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8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782"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8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292"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8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488" w:type="pct"/>
            <w:tcBorders>
              <w:top w:val="nil"/>
              <w:left w:val="nil"/>
              <w:bottom w:val="nil"/>
              <w:right w:val="nil"/>
            </w:tcBorders>
            <w:shd w:val="clear" w:color="auto" w:fill="auto"/>
            <w:noWrap/>
            <w:vAlign w:val="bottom"/>
          </w:tcPr>
          <w:p>
            <w:pPr>
              <w:rPr>
                <w:rFonts w:ascii="Arial" w:hAnsi="Arial" w:cs="Arial"/>
                <w:color w:val="000000"/>
                <w:sz w:val="20"/>
                <w:szCs w:val="20"/>
              </w:rPr>
            </w:pPr>
          </w:p>
        </w:tc>
        <w:tc>
          <w:tcPr>
            <w:tcW w:w="784" w:type="pct"/>
            <w:tcBorders>
              <w:top w:val="nil"/>
              <w:left w:val="nil"/>
              <w:bottom w:val="nil"/>
              <w:right w:val="nil"/>
            </w:tcBorders>
            <w:shd w:val="clear" w:color="auto" w:fill="auto"/>
            <w:noWrap/>
            <w:vAlign w:val="bottom"/>
          </w:tcPr>
          <w:p>
            <w:pPr>
              <w:widowControl/>
              <w:jc w:val="right"/>
              <w:textAlignment w:val="bottom"/>
              <w:rPr>
                <w:rFonts w:ascii="宋体" w:hAnsi="宋体" w:cs="宋体"/>
                <w:color w:val="000000"/>
                <w:sz w:val="20"/>
                <w:szCs w:val="20"/>
              </w:rPr>
            </w:pPr>
            <w:r>
              <w:rPr>
                <w:rFonts w:hint="eastAsia" w:ascii="宋体" w:hAnsi="宋体" w:cs="宋体"/>
                <w:color w:val="000000"/>
                <w:kern w:val="0"/>
                <w:sz w:val="20"/>
                <w:szCs w:val="20"/>
                <w:lang w:bidi="ar"/>
              </w:rPr>
              <w:t>金额单位：万元</w:t>
            </w:r>
          </w:p>
        </w:tc>
      </w:tr>
      <w:tr>
        <w:tblPrEx>
          <w:tblCellMar>
            <w:top w:w="0" w:type="dxa"/>
            <w:left w:w="108" w:type="dxa"/>
            <w:bottom w:w="0" w:type="dxa"/>
            <w:right w:w="108" w:type="dxa"/>
          </w:tblCellMar>
        </w:tblPrEx>
        <w:trPr>
          <w:trHeight w:val="308" w:hRule="atLeast"/>
        </w:trPr>
        <w:tc>
          <w:tcPr>
            <w:tcW w:w="1674"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项目</w:t>
            </w:r>
          </w:p>
        </w:tc>
        <w:tc>
          <w:tcPr>
            <w:tcW w:w="782"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年初结转和结余</w:t>
            </w:r>
          </w:p>
        </w:tc>
        <w:tc>
          <w:tcPr>
            <w:tcW w:w="488"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本年收入</w:t>
            </w:r>
          </w:p>
        </w:tc>
        <w:tc>
          <w:tcPr>
            <w:tcW w:w="1269" w:type="pct"/>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本年支出</w:t>
            </w:r>
          </w:p>
        </w:tc>
        <w:tc>
          <w:tcPr>
            <w:tcW w:w="784"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年末结转和结余</w:t>
            </w:r>
          </w:p>
        </w:tc>
      </w:tr>
      <w:tr>
        <w:tblPrEx>
          <w:tblCellMar>
            <w:top w:w="0" w:type="dxa"/>
            <w:left w:w="108" w:type="dxa"/>
            <w:bottom w:w="0" w:type="dxa"/>
            <w:right w:w="108" w:type="dxa"/>
          </w:tblCellMar>
        </w:tblPrEx>
        <w:trPr>
          <w:trHeight w:val="312" w:hRule="atLeast"/>
        </w:trPr>
        <w:tc>
          <w:tcPr>
            <w:tcW w:w="1185"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功能分类科目编码</w:t>
            </w:r>
          </w:p>
        </w:tc>
        <w:tc>
          <w:tcPr>
            <w:tcW w:w="488" w:type="pct"/>
            <w:vMerge w:val="restar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科目名称</w:t>
            </w:r>
          </w:p>
        </w:tc>
        <w:tc>
          <w:tcPr>
            <w:tcW w:w="782"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48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292" w:type="pct"/>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小计</w:t>
            </w:r>
          </w:p>
        </w:tc>
        <w:tc>
          <w:tcPr>
            <w:tcW w:w="488" w:type="pct"/>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基本支出</w:t>
            </w:r>
          </w:p>
        </w:tc>
        <w:tc>
          <w:tcPr>
            <w:tcW w:w="488" w:type="pct"/>
            <w:vMerge w:val="restart"/>
            <w:tcBorders>
              <w:top w:val="nil"/>
              <w:left w:val="nil"/>
              <w:bottom w:val="single" w:color="000000" w:sz="4" w:space="0"/>
              <w:right w:val="single" w:color="000000" w:sz="4" w:space="0"/>
            </w:tcBorders>
            <w:shd w:val="clear" w:color="FFFFFF" w:fill="C0C0C0"/>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项目支出</w:t>
            </w:r>
          </w:p>
        </w:tc>
        <w:tc>
          <w:tcPr>
            <w:tcW w:w="784"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r>
      <w:tr>
        <w:tblPrEx>
          <w:tblCellMar>
            <w:top w:w="0" w:type="dxa"/>
            <w:left w:w="108" w:type="dxa"/>
            <w:bottom w:w="0" w:type="dxa"/>
            <w:right w:w="108" w:type="dxa"/>
          </w:tblCellMar>
        </w:tblPrEx>
        <w:trPr>
          <w:trHeight w:val="312" w:hRule="atLeast"/>
        </w:trPr>
        <w:tc>
          <w:tcPr>
            <w:tcW w:w="1185"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488" w:type="pct"/>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cs="宋体"/>
                <w:color w:val="000000"/>
                <w:sz w:val="22"/>
              </w:rPr>
            </w:pPr>
          </w:p>
        </w:tc>
        <w:tc>
          <w:tcPr>
            <w:tcW w:w="782"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48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292" w:type="pct"/>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488" w:type="pct"/>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488" w:type="pct"/>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784"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r>
      <w:tr>
        <w:tblPrEx>
          <w:tblCellMar>
            <w:top w:w="0" w:type="dxa"/>
            <w:left w:w="108" w:type="dxa"/>
            <w:bottom w:w="0" w:type="dxa"/>
            <w:right w:w="108" w:type="dxa"/>
          </w:tblCellMar>
        </w:tblPrEx>
        <w:trPr>
          <w:trHeight w:val="312" w:hRule="atLeast"/>
        </w:trPr>
        <w:tc>
          <w:tcPr>
            <w:tcW w:w="1185"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488" w:type="pct"/>
            <w:vMerge w:val="continue"/>
            <w:tcBorders>
              <w:top w:val="nil"/>
              <w:left w:val="nil"/>
              <w:bottom w:val="single" w:color="000000" w:sz="4" w:space="0"/>
              <w:right w:val="single" w:color="000000" w:sz="4" w:space="0"/>
            </w:tcBorders>
            <w:shd w:val="clear" w:color="FFFFFF" w:fill="C0C0C0"/>
            <w:noWrap/>
            <w:vAlign w:val="center"/>
          </w:tcPr>
          <w:p>
            <w:pPr>
              <w:jc w:val="center"/>
              <w:rPr>
                <w:rFonts w:ascii="宋体" w:hAnsi="宋体" w:cs="宋体"/>
                <w:color w:val="000000"/>
                <w:sz w:val="22"/>
              </w:rPr>
            </w:pPr>
          </w:p>
        </w:tc>
        <w:tc>
          <w:tcPr>
            <w:tcW w:w="782"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488"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292" w:type="pct"/>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488" w:type="pct"/>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488" w:type="pct"/>
            <w:vMerge w:val="continue"/>
            <w:tcBorders>
              <w:top w:val="nil"/>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c>
          <w:tcPr>
            <w:tcW w:w="784"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674"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栏次</w:t>
            </w:r>
          </w:p>
        </w:tc>
        <w:tc>
          <w:tcPr>
            <w:tcW w:w="78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1</w:t>
            </w:r>
          </w:p>
        </w:tc>
        <w:tc>
          <w:tcPr>
            <w:tcW w:w="488"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2</w:t>
            </w:r>
          </w:p>
        </w:tc>
        <w:tc>
          <w:tcPr>
            <w:tcW w:w="292"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3</w:t>
            </w:r>
          </w:p>
        </w:tc>
        <w:tc>
          <w:tcPr>
            <w:tcW w:w="488"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4</w:t>
            </w:r>
          </w:p>
        </w:tc>
        <w:tc>
          <w:tcPr>
            <w:tcW w:w="488"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5</w:t>
            </w:r>
          </w:p>
        </w:tc>
        <w:tc>
          <w:tcPr>
            <w:tcW w:w="784" w:type="pct"/>
            <w:tcBorders>
              <w:top w:val="nil"/>
              <w:left w:val="nil"/>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6</w:t>
            </w:r>
          </w:p>
        </w:tc>
      </w:tr>
      <w:tr>
        <w:tblPrEx>
          <w:tblCellMar>
            <w:top w:w="0" w:type="dxa"/>
            <w:left w:w="108" w:type="dxa"/>
            <w:bottom w:w="0" w:type="dxa"/>
            <w:right w:w="108" w:type="dxa"/>
          </w:tblCellMar>
        </w:tblPrEx>
        <w:trPr>
          <w:trHeight w:val="308" w:hRule="atLeast"/>
        </w:trPr>
        <w:tc>
          <w:tcPr>
            <w:tcW w:w="1674"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textAlignment w:val="center"/>
              <w:rPr>
                <w:rFonts w:ascii="宋体" w:hAnsi="宋体" w:cs="宋体"/>
                <w:color w:val="000000"/>
                <w:sz w:val="22"/>
              </w:rPr>
            </w:pPr>
            <w:r>
              <w:rPr>
                <w:rFonts w:hint="eastAsia" w:ascii="宋体" w:hAnsi="宋体" w:cs="宋体"/>
                <w:color w:val="000000"/>
                <w:kern w:val="0"/>
                <w:sz w:val="22"/>
                <w:lang w:bidi="ar"/>
              </w:rPr>
              <w:t>合计</w:t>
            </w:r>
          </w:p>
        </w:tc>
        <w:tc>
          <w:tcPr>
            <w:tcW w:w="78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b/>
                <w:bCs/>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b/>
                <w:bCs/>
                <w:color w:val="000000"/>
                <w:sz w:val="22"/>
              </w:rPr>
            </w:pPr>
          </w:p>
        </w:tc>
        <w:tc>
          <w:tcPr>
            <w:tcW w:w="29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b/>
                <w:bCs/>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b/>
                <w:bCs/>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b/>
                <w:bCs/>
                <w:color w:val="000000"/>
                <w:sz w:val="22"/>
              </w:rPr>
            </w:pPr>
          </w:p>
        </w:tc>
        <w:tc>
          <w:tcPr>
            <w:tcW w:w="784"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b/>
                <w:bCs/>
                <w:color w:val="000000"/>
                <w:sz w:val="22"/>
              </w:rPr>
            </w:pPr>
          </w:p>
        </w:tc>
      </w:tr>
      <w:tr>
        <w:tblPrEx>
          <w:tblCellMar>
            <w:top w:w="0" w:type="dxa"/>
            <w:left w:w="108" w:type="dxa"/>
            <w:bottom w:w="0" w:type="dxa"/>
            <w:right w:w="108" w:type="dxa"/>
          </w:tblCellMar>
        </w:tblPrEx>
        <w:trPr>
          <w:trHeight w:val="308" w:hRule="atLeast"/>
        </w:trPr>
        <w:tc>
          <w:tcPr>
            <w:tcW w:w="1185"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left"/>
              <w:rPr>
                <w:rFonts w:ascii="宋体" w:hAnsi="宋体" w:cs="宋体"/>
                <w:color w:val="000000"/>
                <w:sz w:val="22"/>
              </w:rPr>
            </w:pPr>
          </w:p>
        </w:tc>
        <w:tc>
          <w:tcPr>
            <w:tcW w:w="78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29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84"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185"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left"/>
              <w:rPr>
                <w:rFonts w:ascii="宋体" w:hAnsi="宋体" w:cs="宋体"/>
                <w:color w:val="000000"/>
                <w:sz w:val="22"/>
              </w:rPr>
            </w:pPr>
          </w:p>
        </w:tc>
        <w:tc>
          <w:tcPr>
            <w:tcW w:w="78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29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84"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185"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left"/>
              <w:rPr>
                <w:rFonts w:ascii="宋体" w:hAnsi="宋体" w:cs="宋体"/>
                <w:color w:val="000000"/>
                <w:sz w:val="22"/>
              </w:rPr>
            </w:pPr>
          </w:p>
        </w:tc>
        <w:tc>
          <w:tcPr>
            <w:tcW w:w="78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29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84"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185"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left"/>
              <w:rPr>
                <w:rFonts w:ascii="宋体" w:hAnsi="宋体" w:cs="宋体"/>
                <w:color w:val="000000"/>
                <w:sz w:val="22"/>
              </w:rPr>
            </w:pPr>
          </w:p>
        </w:tc>
        <w:tc>
          <w:tcPr>
            <w:tcW w:w="78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29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84"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185"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left"/>
              <w:rPr>
                <w:rFonts w:ascii="宋体" w:hAnsi="宋体" w:cs="宋体"/>
                <w:color w:val="000000"/>
                <w:sz w:val="22"/>
              </w:rPr>
            </w:pPr>
          </w:p>
        </w:tc>
        <w:tc>
          <w:tcPr>
            <w:tcW w:w="78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29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84"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1185"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left"/>
              <w:rPr>
                <w:rFonts w:ascii="宋体" w:hAnsi="宋体" w:cs="宋体"/>
                <w:color w:val="000000"/>
                <w:sz w:val="22"/>
              </w:rPr>
            </w:pPr>
          </w:p>
        </w:tc>
        <w:tc>
          <w:tcPr>
            <w:tcW w:w="78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292"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488"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c>
          <w:tcPr>
            <w:tcW w:w="784" w:type="pct"/>
            <w:tcBorders>
              <w:top w:val="nil"/>
              <w:left w:val="nil"/>
              <w:bottom w:val="single" w:color="000000" w:sz="4" w:space="0"/>
              <w:right w:val="single" w:color="000000" w:sz="4" w:space="0"/>
            </w:tcBorders>
            <w:shd w:val="clear" w:color="auto" w:fill="auto"/>
            <w:noWrap/>
            <w:vAlign w:val="center"/>
          </w:tcPr>
          <w:p>
            <w:pPr>
              <w:jc w:val="right"/>
              <w:rPr>
                <w:rFonts w:ascii="宋体" w:hAnsi="宋体" w:cs="宋体"/>
                <w:color w:val="000000"/>
                <w:sz w:val="22"/>
              </w:rPr>
            </w:pPr>
          </w:p>
        </w:tc>
      </w:tr>
      <w:tr>
        <w:tblPrEx>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pPr>
              <w:widowControl/>
              <w:jc w:val="left"/>
              <w:textAlignment w:val="center"/>
              <w:rPr>
                <w:rFonts w:ascii="宋体" w:hAnsi="宋体" w:cs="宋体"/>
                <w:color w:val="000000"/>
                <w:sz w:val="22"/>
              </w:rPr>
            </w:pPr>
            <w:r>
              <w:rPr>
                <w:rFonts w:hint="eastAsia" w:ascii="宋体" w:hAnsi="宋体" w:cs="宋体"/>
                <w:color w:val="000000"/>
                <w:kern w:val="0"/>
                <w:sz w:val="22"/>
                <w:lang w:bidi="ar"/>
              </w:rPr>
              <w:t>注：本表反映部门本年度政府性基金预算财政拨款收入、支出及结转和结余情况。</w:t>
            </w:r>
          </w:p>
        </w:tc>
      </w:tr>
    </w:tbl>
    <w:p>
      <w:pPr>
        <w:rPr>
          <w:rFonts w:ascii="仿宋_GB2312" w:hAnsi="仿宋_GB2312" w:eastAsia="仿宋_GB2312" w:cs="仿宋_GB2312"/>
          <w:sz w:val="32"/>
          <w:szCs w:val="32"/>
        </w:rPr>
      </w:pPr>
      <w:r>
        <w:rPr>
          <w:rFonts w:hint="eastAsia" w:ascii="仿宋_GB2312" w:hAnsi="仿宋_GB2312" w:eastAsia="仿宋_GB2312" w:cs="仿宋_GB2312"/>
          <w:sz w:val="32"/>
          <w:szCs w:val="32"/>
        </w:rPr>
        <w:t>说明：我</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没有政府性基金收入，也没有使用政府性基金安排的支出，故本表无数据。</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tbl>
      <w:tblPr>
        <w:tblStyle w:val="5"/>
        <w:tblW w:w="1471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06"/>
        <w:gridCol w:w="1342"/>
        <w:gridCol w:w="2025"/>
        <w:gridCol w:w="2025"/>
        <w:gridCol w:w="2026"/>
        <w:gridCol w:w="2027"/>
        <w:gridCol w:w="2026"/>
        <w:gridCol w:w="20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14711" w:type="dxa"/>
            <w:gridSpan w:val="8"/>
            <w:tcBorders>
              <w:top w:val="nil"/>
              <w:left w:val="nil"/>
              <w:bottom w:val="nil"/>
              <w:right w:val="nil"/>
            </w:tcBorders>
            <w:noWrap/>
            <w:vAlign w:val="center"/>
          </w:tcPr>
          <w:p>
            <w:pPr>
              <w:jc w:val="center"/>
              <w:rPr>
                <w:rFonts w:hint="eastAsia"/>
                <w:sz w:val="28"/>
                <w:szCs w:val="28"/>
              </w:rPr>
            </w:pPr>
            <w:r>
              <w:rPr>
                <w:rFonts w:hint="eastAsia"/>
                <w:sz w:val="28"/>
                <w:szCs w:val="28"/>
                <w:lang w:eastAsia="zh-CN"/>
              </w:rPr>
              <w:t>国有资本经营</w:t>
            </w:r>
            <w:r>
              <w:rPr>
                <w:rFonts w:hint="eastAsia"/>
                <w:sz w:val="28"/>
                <w:szCs w:val="28"/>
              </w:rPr>
              <w:t>预算财政拨款收入支出决算表</w:t>
            </w:r>
          </w:p>
          <w:p>
            <w:pPr>
              <w:jc w:val="center"/>
              <w:rPr>
                <w:rFonts w:hint="default" w:eastAsia="宋体"/>
                <w:sz w:val="18"/>
                <w:szCs w:val="18"/>
                <w:lang w:val="en-US" w:eastAsia="zh-CN"/>
              </w:rPr>
            </w:pPr>
            <w:r>
              <w:rPr>
                <w:rFonts w:hint="eastAsia"/>
                <w:sz w:val="28"/>
                <w:szCs w:val="28"/>
                <w:lang w:val="en-US" w:eastAsia="zh-CN"/>
              </w:rPr>
              <w:t xml:space="preserve">                                                                                               </w:t>
            </w:r>
            <w:r>
              <w:rPr>
                <w:rFonts w:hint="eastAsia"/>
                <w:sz w:val="18"/>
                <w:szCs w:val="18"/>
                <w:lang w:val="en-US" w:eastAsia="zh-CN"/>
              </w:rPr>
              <w:t>公开09表</w:t>
            </w:r>
          </w:p>
          <w:p>
            <w:pPr>
              <w:jc w:val="left"/>
              <w:rPr>
                <w:rFonts w:hint="default" w:eastAsia="宋体"/>
                <w:sz w:val="28"/>
                <w:szCs w:val="28"/>
                <w:lang w:val="en-US" w:eastAsia="zh-CN"/>
              </w:rPr>
            </w:pPr>
            <w:r>
              <w:rPr>
                <w:rFonts w:hint="eastAsia"/>
                <w:sz w:val="18"/>
                <w:szCs w:val="18"/>
                <w:lang w:eastAsia="zh-CN"/>
              </w:rPr>
              <w:t>部门：开封市</w:t>
            </w:r>
            <w:r>
              <w:rPr>
                <w:rFonts w:hint="eastAsia"/>
                <w:sz w:val="18"/>
                <w:szCs w:val="18"/>
                <w:lang w:val="en-US" w:eastAsia="zh-CN"/>
              </w:rPr>
              <w:t>人民医院                                                                                                                       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548" w:type="dxa"/>
            <w:gridSpan w:val="2"/>
            <w:tcBorders>
              <w:top w:val="single" w:color="000000" w:sz="4" w:space="0"/>
              <w:left w:val="single" w:color="000000" w:sz="4" w:space="0"/>
              <w:bottom w:val="single" w:color="000000" w:sz="4" w:space="0"/>
              <w:right w:val="single" w:color="000000" w:sz="4" w:space="0"/>
            </w:tcBorders>
            <w:shd w:val="clear" w:color="auto" w:fill="BEBEBE"/>
            <w:noWrap w:val="0"/>
            <w:vAlign w:val="center"/>
          </w:tcPr>
          <w:p>
            <w:pPr>
              <w:rPr>
                <w:rFonts w:hint="eastAsia"/>
              </w:rPr>
            </w:pPr>
            <w:r>
              <w:rPr>
                <w:rFonts w:hint="eastAsia"/>
              </w:rPr>
              <w:t>项    目</w:t>
            </w:r>
          </w:p>
        </w:tc>
        <w:tc>
          <w:tcPr>
            <w:tcW w:w="2025" w:type="dxa"/>
            <w:vMerge w:val="restart"/>
            <w:tcBorders>
              <w:top w:val="single" w:color="000000" w:sz="4" w:space="0"/>
              <w:left w:val="nil"/>
              <w:bottom w:val="single" w:color="000000" w:sz="4" w:space="0"/>
              <w:right w:val="single" w:color="000000" w:sz="4" w:space="0"/>
            </w:tcBorders>
            <w:shd w:val="clear" w:color="auto" w:fill="BEBEBE"/>
            <w:noWrap w:val="0"/>
            <w:vAlign w:val="center"/>
          </w:tcPr>
          <w:p>
            <w:pPr>
              <w:rPr>
                <w:rFonts w:hint="eastAsia"/>
              </w:rPr>
            </w:pPr>
            <w:r>
              <w:rPr>
                <w:rFonts w:hint="eastAsia"/>
              </w:rPr>
              <w:t>年初结转和结余</w:t>
            </w:r>
          </w:p>
        </w:tc>
        <w:tc>
          <w:tcPr>
            <w:tcW w:w="2025" w:type="dxa"/>
            <w:vMerge w:val="restart"/>
            <w:tcBorders>
              <w:top w:val="single" w:color="000000" w:sz="4" w:space="0"/>
              <w:left w:val="nil"/>
              <w:bottom w:val="single" w:color="000000" w:sz="4" w:space="0"/>
              <w:right w:val="single" w:color="000000" w:sz="4" w:space="0"/>
            </w:tcBorders>
            <w:shd w:val="clear" w:color="auto" w:fill="BEBEBE"/>
            <w:noWrap w:val="0"/>
            <w:vAlign w:val="center"/>
          </w:tcPr>
          <w:p>
            <w:pPr>
              <w:rPr>
                <w:rFonts w:hint="eastAsia"/>
              </w:rPr>
            </w:pPr>
            <w:r>
              <w:rPr>
                <w:rFonts w:hint="eastAsia"/>
              </w:rPr>
              <w:t>本年收入</w:t>
            </w:r>
          </w:p>
        </w:tc>
        <w:tc>
          <w:tcPr>
            <w:tcW w:w="6079" w:type="dxa"/>
            <w:gridSpan w:val="3"/>
            <w:tcBorders>
              <w:top w:val="single" w:color="000000" w:sz="4" w:space="0"/>
              <w:left w:val="nil"/>
              <w:bottom w:val="single" w:color="000000" w:sz="4" w:space="0"/>
              <w:right w:val="single" w:color="000000" w:sz="4" w:space="0"/>
            </w:tcBorders>
            <w:shd w:val="clear" w:color="auto" w:fill="BEBEBE"/>
            <w:noWrap w:val="0"/>
            <w:vAlign w:val="center"/>
          </w:tcPr>
          <w:p>
            <w:r>
              <w:rPr>
                <w:rFonts w:hint="eastAsia"/>
              </w:rPr>
              <w:t>本年支出</w:t>
            </w:r>
          </w:p>
        </w:tc>
        <w:tc>
          <w:tcPr>
            <w:tcW w:w="2034" w:type="dxa"/>
            <w:vMerge w:val="restart"/>
            <w:tcBorders>
              <w:top w:val="single" w:color="000000" w:sz="4" w:space="0"/>
              <w:left w:val="nil"/>
              <w:bottom w:val="single" w:color="000000" w:sz="4" w:space="0"/>
              <w:right w:val="single" w:color="000000" w:sz="4" w:space="0"/>
            </w:tcBorders>
            <w:shd w:val="clear" w:color="auto" w:fill="BEBEBE"/>
            <w:noWrap w:val="0"/>
            <w:vAlign w:val="center"/>
          </w:tcPr>
          <w:p>
            <w:pPr>
              <w:rPr>
                <w:rFonts w:hint="eastAsia"/>
              </w:rPr>
            </w:pPr>
            <w:r>
              <w:rPr>
                <w:rFonts w:hint="eastAsia"/>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206" w:type="dxa"/>
            <w:tcBorders>
              <w:top w:val="nil"/>
              <w:left w:val="single" w:color="000000" w:sz="4" w:space="0"/>
              <w:bottom w:val="single" w:color="000000" w:sz="4" w:space="0"/>
              <w:right w:val="single" w:color="000000" w:sz="4" w:space="0"/>
            </w:tcBorders>
            <w:shd w:val="clear" w:color="auto" w:fill="BEBEBE"/>
            <w:noWrap w:val="0"/>
            <w:vAlign w:val="center"/>
          </w:tcPr>
          <w:p>
            <w:pPr>
              <w:rPr>
                <w:rFonts w:hint="eastAsia"/>
              </w:rPr>
            </w:pPr>
            <w:r>
              <w:rPr>
                <w:rFonts w:hint="eastAsia"/>
              </w:rPr>
              <w:t>功能分类</w:t>
            </w:r>
          </w:p>
          <w:p>
            <w:pPr>
              <w:rPr>
                <w:rFonts w:hint="eastAsia"/>
              </w:rPr>
            </w:pPr>
            <w:r>
              <w:rPr>
                <w:rFonts w:hint="eastAsia"/>
              </w:rPr>
              <w:t>科目编码</w:t>
            </w:r>
          </w:p>
        </w:tc>
        <w:tc>
          <w:tcPr>
            <w:tcW w:w="1342" w:type="dxa"/>
            <w:tcBorders>
              <w:top w:val="nil"/>
              <w:left w:val="nil"/>
              <w:bottom w:val="single" w:color="000000" w:sz="4" w:space="0"/>
              <w:right w:val="single" w:color="000000" w:sz="4" w:space="0"/>
            </w:tcBorders>
            <w:shd w:val="clear" w:color="auto" w:fill="BEBEBE"/>
            <w:noWrap w:val="0"/>
            <w:vAlign w:val="center"/>
          </w:tcPr>
          <w:p>
            <w:pPr>
              <w:rPr>
                <w:rFonts w:hint="eastAsia"/>
              </w:rPr>
            </w:pPr>
            <w:r>
              <w:rPr>
                <w:rFonts w:hint="eastAsia"/>
              </w:rPr>
              <w:t>科目名称</w:t>
            </w:r>
          </w:p>
        </w:tc>
        <w:tc>
          <w:tcPr>
            <w:tcW w:w="2025" w:type="dxa"/>
            <w:vMerge w:val="continue"/>
            <w:tcBorders>
              <w:top w:val="nil"/>
              <w:left w:val="nil"/>
              <w:bottom w:val="single" w:color="000000" w:sz="4" w:space="0"/>
              <w:right w:val="single" w:color="000000" w:sz="4" w:space="0"/>
            </w:tcBorders>
            <w:shd w:val="clear" w:color="auto" w:fill="BEBEBE"/>
            <w:noWrap w:val="0"/>
            <w:vAlign w:val="center"/>
          </w:tcPr>
          <w:p>
            <w:pPr>
              <w:rPr>
                <w:rFonts w:hint="eastAsia"/>
              </w:rPr>
            </w:pPr>
          </w:p>
        </w:tc>
        <w:tc>
          <w:tcPr>
            <w:tcW w:w="2025" w:type="dxa"/>
            <w:vMerge w:val="continue"/>
            <w:tcBorders>
              <w:top w:val="nil"/>
              <w:left w:val="nil"/>
              <w:bottom w:val="single" w:color="000000" w:sz="4" w:space="0"/>
              <w:right w:val="single" w:color="000000" w:sz="4" w:space="0"/>
            </w:tcBorders>
            <w:shd w:val="clear" w:color="auto" w:fill="BEBEBE"/>
            <w:noWrap w:val="0"/>
            <w:vAlign w:val="center"/>
          </w:tcPr>
          <w:p>
            <w:pPr>
              <w:rPr>
                <w:rFonts w:hint="eastAsia"/>
              </w:rPr>
            </w:pPr>
          </w:p>
        </w:tc>
        <w:tc>
          <w:tcPr>
            <w:tcW w:w="2026" w:type="dxa"/>
            <w:tcBorders>
              <w:top w:val="nil"/>
              <w:left w:val="nil"/>
              <w:bottom w:val="single" w:color="000000" w:sz="4" w:space="0"/>
              <w:right w:val="single" w:color="000000" w:sz="4" w:space="0"/>
            </w:tcBorders>
            <w:shd w:val="clear" w:color="auto" w:fill="BEBEBE"/>
            <w:noWrap w:val="0"/>
            <w:vAlign w:val="center"/>
          </w:tcPr>
          <w:p>
            <w:pPr>
              <w:rPr>
                <w:rFonts w:hint="eastAsia"/>
              </w:rPr>
            </w:pPr>
            <w:r>
              <w:rPr>
                <w:rFonts w:hint="eastAsia"/>
              </w:rPr>
              <w:t>小计</w:t>
            </w:r>
          </w:p>
        </w:tc>
        <w:tc>
          <w:tcPr>
            <w:tcW w:w="2027" w:type="dxa"/>
            <w:tcBorders>
              <w:top w:val="nil"/>
              <w:left w:val="nil"/>
              <w:bottom w:val="single" w:color="000000" w:sz="4" w:space="0"/>
              <w:right w:val="single" w:color="000000" w:sz="4" w:space="0"/>
            </w:tcBorders>
            <w:shd w:val="clear" w:color="auto" w:fill="BEBEBE"/>
            <w:noWrap w:val="0"/>
            <w:vAlign w:val="center"/>
          </w:tcPr>
          <w:p>
            <w:pPr>
              <w:rPr>
                <w:rFonts w:hint="eastAsia"/>
              </w:rPr>
            </w:pPr>
            <w:r>
              <w:rPr>
                <w:rFonts w:hint="eastAsia"/>
              </w:rPr>
              <w:t>基本支出</w:t>
            </w:r>
          </w:p>
        </w:tc>
        <w:tc>
          <w:tcPr>
            <w:tcW w:w="2026" w:type="dxa"/>
            <w:tcBorders>
              <w:top w:val="nil"/>
              <w:left w:val="nil"/>
              <w:bottom w:val="single" w:color="000000" w:sz="4" w:space="0"/>
              <w:right w:val="single" w:color="000000" w:sz="4" w:space="0"/>
            </w:tcBorders>
            <w:shd w:val="clear" w:color="auto" w:fill="BEBEBE"/>
            <w:noWrap w:val="0"/>
            <w:vAlign w:val="center"/>
          </w:tcPr>
          <w:p>
            <w:pPr>
              <w:rPr>
                <w:rFonts w:hint="eastAsia"/>
              </w:rPr>
            </w:pPr>
            <w:r>
              <w:rPr>
                <w:rFonts w:hint="eastAsia"/>
              </w:rPr>
              <w:t>项目支出</w:t>
            </w:r>
          </w:p>
        </w:tc>
        <w:tc>
          <w:tcPr>
            <w:tcW w:w="2034" w:type="dxa"/>
            <w:vMerge w:val="continue"/>
            <w:tcBorders>
              <w:top w:val="nil"/>
              <w:left w:val="nil"/>
              <w:bottom w:val="single" w:color="000000" w:sz="4" w:space="0"/>
              <w:right w:val="single" w:color="000000" w:sz="4" w:space="0"/>
            </w:tcBorders>
            <w:shd w:val="clear" w:color="auto" w:fill="BEBEBE"/>
            <w:noWrap w:val="0"/>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7" w:hRule="atLeast"/>
        </w:trPr>
        <w:tc>
          <w:tcPr>
            <w:tcW w:w="2548" w:type="dxa"/>
            <w:gridSpan w:val="2"/>
            <w:tcBorders>
              <w:top w:val="nil"/>
              <w:left w:val="single" w:color="000000" w:sz="4" w:space="0"/>
              <w:bottom w:val="single" w:color="000000" w:sz="4" w:space="0"/>
              <w:right w:val="single" w:color="000000" w:sz="4" w:space="0"/>
            </w:tcBorders>
            <w:shd w:val="clear" w:color="auto" w:fill="BEBEBE"/>
            <w:noWrap w:val="0"/>
            <w:vAlign w:val="center"/>
          </w:tcPr>
          <w:p>
            <w:pPr>
              <w:rPr>
                <w:rFonts w:hint="eastAsia"/>
              </w:rPr>
            </w:pPr>
            <w:r>
              <w:rPr>
                <w:rFonts w:hint="eastAsia"/>
              </w:rPr>
              <w:t>栏次</w:t>
            </w:r>
          </w:p>
        </w:tc>
        <w:tc>
          <w:tcPr>
            <w:tcW w:w="2025" w:type="dxa"/>
            <w:tcBorders>
              <w:top w:val="nil"/>
              <w:left w:val="nil"/>
              <w:bottom w:val="single" w:color="000000" w:sz="4" w:space="0"/>
              <w:right w:val="single" w:color="000000" w:sz="4" w:space="0"/>
            </w:tcBorders>
            <w:shd w:val="clear" w:color="auto" w:fill="BEBEBE"/>
            <w:noWrap w:val="0"/>
            <w:vAlign w:val="center"/>
          </w:tcPr>
          <w:p>
            <w:pPr>
              <w:rPr>
                <w:rFonts w:hint="eastAsia"/>
              </w:rPr>
            </w:pPr>
            <w:r>
              <w:rPr>
                <w:rFonts w:hint="eastAsia"/>
              </w:rPr>
              <w:t>1</w:t>
            </w:r>
          </w:p>
        </w:tc>
        <w:tc>
          <w:tcPr>
            <w:tcW w:w="2025" w:type="dxa"/>
            <w:tcBorders>
              <w:top w:val="nil"/>
              <w:left w:val="nil"/>
              <w:bottom w:val="single" w:color="000000" w:sz="4" w:space="0"/>
              <w:right w:val="single" w:color="000000" w:sz="4" w:space="0"/>
            </w:tcBorders>
            <w:shd w:val="clear" w:color="auto" w:fill="BEBEBE"/>
            <w:noWrap w:val="0"/>
            <w:vAlign w:val="center"/>
          </w:tcPr>
          <w:p>
            <w:pPr>
              <w:rPr>
                <w:rFonts w:hint="eastAsia"/>
              </w:rPr>
            </w:pPr>
            <w:r>
              <w:rPr>
                <w:rFonts w:hint="eastAsia"/>
              </w:rPr>
              <w:t>2</w:t>
            </w:r>
          </w:p>
        </w:tc>
        <w:tc>
          <w:tcPr>
            <w:tcW w:w="2026" w:type="dxa"/>
            <w:tcBorders>
              <w:top w:val="nil"/>
              <w:left w:val="nil"/>
              <w:bottom w:val="single" w:color="000000" w:sz="4" w:space="0"/>
              <w:right w:val="single" w:color="000000" w:sz="4" w:space="0"/>
            </w:tcBorders>
            <w:shd w:val="clear" w:color="auto" w:fill="BEBEBE"/>
            <w:noWrap w:val="0"/>
            <w:vAlign w:val="center"/>
          </w:tcPr>
          <w:p>
            <w:pPr>
              <w:rPr>
                <w:rFonts w:hint="eastAsia"/>
              </w:rPr>
            </w:pPr>
            <w:r>
              <w:rPr>
                <w:rFonts w:hint="eastAsia"/>
              </w:rPr>
              <w:t>3</w:t>
            </w:r>
          </w:p>
        </w:tc>
        <w:tc>
          <w:tcPr>
            <w:tcW w:w="2027" w:type="dxa"/>
            <w:tcBorders>
              <w:top w:val="nil"/>
              <w:left w:val="nil"/>
              <w:bottom w:val="single" w:color="000000" w:sz="4" w:space="0"/>
              <w:right w:val="single" w:color="000000" w:sz="4" w:space="0"/>
            </w:tcBorders>
            <w:shd w:val="clear" w:color="auto" w:fill="BEBEBE"/>
            <w:noWrap w:val="0"/>
            <w:vAlign w:val="center"/>
          </w:tcPr>
          <w:p>
            <w:pPr>
              <w:rPr>
                <w:rFonts w:hint="eastAsia"/>
              </w:rPr>
            </w:pPr>
            <w:r>
              <w:rPr>
                <w:rFonts w:hint="eastAsia"/>
              </w:rPr>
              <w:t>4</w:t>
            </w:r>
          </w:p>
        </w:tc>
        <w:tc>
          <w:tcPr>
            <w:tcW w:w="2026" w:type="dxa"/>
            <w:tcBorders>
              <w:top w:val="nil"/>
              <w:left w:val="nil"/>
              <w:bottom w:val="single" w:color="000000" w:sz="4" w:space="0"/>
              <w:right w:val="single" w:color="000000" w:sz="4" w:space="0"/>
            </w:tcBorders>
            <w:shd w:val="clear" w:color="auto" w:fill="BEBEBE"/>
            <w:noWrap w:val="0"/>
            <w:vAlign w:val="center"/>
          </w:tcPr>
          <w:p>
            <w:pPr>
              <w:rPr>
                <w:rFonts w:hint="eastAsia"/>
              </w:rPr>
            </w:pPr>
            <w:r>
              <w:rPr>
                <w:rFonts w:hint="eastAsia"/>
              </w:rPr>
              <w:t>5</w:t>
            </w:r>
          </w:p>
        </w:tc>
        <w:tc>
          <w:tcPr>
            <w:tcW w:w="2034" w:type="dxa"/>
            <w:tcBorders>
              <w:top w:val="nil"/>
              <w:left w:val="nil"/>
              <w:bottom w:val="single" w:color="000000" w:sz="4" w:space="0"/>
              <w:right w:val="single" w:color="000000" w:sz="4" w:space="0"/>
            </w:tcBorders>
            <w:shd w:val="clear" w:color="auto" w:fill="BEBEBE"/>
            <w:noWrap w:val="0"/>
            <w:vAlign w:val="center"/>
          </w:tcPr>
          <w:p>
            <w:pPr>
              <w:rPr>
                <w:rFonts w:hint="eastAsia"/>
              </w:rPr>
            </w:pPr>
            <w:r>
              <w:rPr>
                <w:rFonts w:hint="eastAsia"/>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2548" w:type="dxa"/>
            <w:gridSpan w:val="2"/>
            <w:tcBorders>
              <w:top w:val="nil"/>
              <w:left w:val="single" w:color="000000" w:sz="4" w:space="0"/>
              <w:bottom w:val="single" w:color="000000" w:sz="4" w:space="0"/>
              <w:right w:val="single" w:color="000000" w:sz="4" w:space="0"/>
            </w:tcBorders>
            <w:noWrap w:val="0"/>
            <w:vAlign w:val="center"/>
          </w:tcPr>
          <w:p>
            <w:pPr>
              <w:rPr>
                <w:rFonts w:hint="eastAsia"/>
              </w:rPr>
            </w:pPr>
            <w:r>
              <w:rPr>
                <w:rFonts w:hint="eastAsia"/>
              </w:rPr>
              <w:t>合计</w:t>
            </w:r>
          </w:p>
        </w:tc>
        <w:tc>
          <w:tcPr>
            <w:tcW w:w="2025" w:type="dxa"/>
            <w:tcBorders>
              <w:top w:val="nil"/>
              <w:left w:val="nil"/>
              <w:bottom w:val="single" w:color="000000" w:sz="4" w:space="0"/>
              <w:right w:val="single" w:color="000000" w:sz="4" w:space="0"/>
            </w:tcBorders>
            <w:noWrap w:val="0"/>
            <w:vAlign w:val="center"/>
          </w:tcPr>
          <w:p>
            <w:pPr>
              <w:rPr>
                <w:rFonts w:hint="eastAsia"/>
              </w:rPr>
            </w:pPr>
          </w:p>
        </w:tc>
        <w:tc>
          <w:tcPr>
            <w:tcW w:w="2025" w:type="dxa"/>
            <w:tcBorders>
              <w:top w:val="nil"/>
              <w:left w:val="nil"/>
              <w:bottom w:val="single" w:color="000000" w:sz="4" w:space="0"/>
              <w:right w:val="single" w:color="000000" w:sz="4" w:space="0"/>
            </w:tcBorders>
            <w:noWrap w:val="0"/>
            <w:vAlign w:val="center"/>
          </w:tcPr>
          <w:p>
            <w:pPr>
              <w:rPr>
                <w:rFonts w:hint="eastAsia"/>
              </w:rPr>
            </w:pPr>
          </w:p>
        </w:tc>
        <w:tc>
          <w:tcPr>
            <w:tcW w:w="2026" w:type="dxa"/>
            <w:tcBorders>
              <w:top w:val="nil"/>
              <w:left w:val="nil"/>
              <w:bottom w:val="single" w:color="000000" w:sz="4" w:space="0"/>
              <w:right w:val="single" w:color="000000" w:sz="4" w:space="0"/>
            </w:tcBorders>
            <w:noWrap w:val="0"/>
            <w:vAlign w:val="center"/>
          </w:tcPr>
          <w:p>
            <w:pPr>
              <w:rPr>
                <w:rFonts w:hint="eastAsia"/>
              </w:rPr>
            </w:pPr>
          </w:p>
        </w:tc>
        <w:tc>
          <w:tcPr>
            <w:tcW w:w="2027" w:type="dxa"/>
            <w:tcBorders>
              <w:top w:val="nil"/>
              <w:left w:val="nil"/>
              <w:bottom w:val="single" w:color="000000" w:sz="4" w:space="0"/>
              <w:right w:val="single" w:color="000000" w:sz="4" w:space="0"/>
            </w:tcBorders>
            <w:noWrap w:val="0"/>
            <w:vAlign w:val="center"/>
          </w:tcPr>
          <w:p>
            <w:pPr>
              <w:rPr>
                <w:rFonts w:hint="eastAsia"/>
              </w:rPr>
            </w:pPr>
          </w:p>
        </w:tc>
        <w:tc>
          <w:tcPr>
            <w:tcW w:w="2026" w:type="dxa"/>
            <w:tcBorders>
              <w:top w:val="nil"/>
              <w:left w:val="nil"/>
              <w:bottom w:val="single" w:color="000000" w:sz="4" w:space="0"/>
              <w:right w:val="single" w:color="000000" w:sz="4" w:space="0"/>
            </w:tcBorders>
            <w:noWrap w:val="0"/>
            <w:vAlign w:val="center"/>
          </w:tcPr>
          <w:p>
            <w:pPr>
              <w:rPr>
                <w:rFonts w:hint="eastAsia"/>
              </w:rPr>
            </w:pPr>
          </w:p>
        </w:tc>
        <w:tc>
          <w:tcPr>
            <w:tcW w:w="2034" w:type="dxa"/>
            <w:tcBorders>
              <w:top w:val="nil"/>
              <w:left w:val="nil"/>
              <w:bottom w:val="single" w:color="000000" w:sz="4" w:space="0"/>
              <w:right w:val="single" w:color="000000" w:sz="4" w:space="0"/>
            </w:tcBorders>
            <w:noWrap w:val="0"/>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206" w:type="dxa"/>
            <w:tcBorders>
              <w:top w:val="nil"/>
              <w:left w:val="single" w:color="000000" w:sz="4" w:space="0"/>
              <w:bottom w:val="single" w:color="000000" w:sz="4" w:space="0"/>
              <w:right w:val="single" w:color="000000" w:sz="4" w:space="0"/>
            </w:tcBorders>
            <w:noWrap w:val="0"/>
            <w:vAlign w:val="center"/>
          </w:tcPr>
          <w:p>
            <w:pPr>
              <w:rPr>
                <w:rFonts w:hint="eastAsia"/>
              </w:rPr>
            </w:pPr>
          </w:p>
        </w:tc>
        <w:tc>
          <w:tcPr>
            <w:tcW w:w="1342" w:type="dxa"/>
            <w:tcBorders>
              <w:top w:val="nil"/>
              <w:left w:val="nil"/>
              <w:bottom w:val="single" w:color="000000" w:sz="4" w:space="0"/>
              <w:right w:val="single" w:color="000000" w:sz="4" w:space="0"/>
            </w:tcBorders>
            <w:noWrap w:val="0"/>
            <w:vAlign w:val="center"/>
          </w:tcPr>
          <w:p>
            <w:pPr>
              <w:rPr>
                <w:rFonts w:hint="eastAsia"/>
              </w:rPr>
            </w:pPr>
          </w:p>
        </w:tc>
        <w:tc>
          <w:tcPr>
            <w:tcW w:w="2025" w:type="dxa"/>
            <w:tcBorders>
              <w:top w:val="nil"/>
              <w:left w:val="nil"/>
              <w:bottom w:val="single" w:color="000000" w:sz="4" w:space="0"/>
              <w:right w:val="single" w:color="000000" w:sz="4" w:space="0"/>
            </w:tcBorders>
            <w:noWrap/>
            <w:vAlign w:val="center"/>
          </w:tcPr>
          <w:p>
            <w:pPr>
              <w:rPr>
                <w:rFonts w:hint="eastAsia"/>
              </w:rPr>
            </w:pPr>
          </w:p>
        </w:tc>
        <w:tc>
          <w:tcPr>
            <w:tcW w:w="2025" w:type="dxa"/>
            <w:tcBorders>
              <w:top w:val="nil"/>
              <w:left w:val="nil"/>
              <w:bottom w:val="single" w:color="000000" w:sz="4" w:space="0"/>
              <w:right w:val="single" w:color="000000" w:sz="4" w:space="0"/>
            </w:tcBorders>
            <w:noWrap/>
            <w:vAlign w:val="center"/>
          </w:tcPr>
          <w:p>
            <w:pPr>
              <w:rPr>
                <w:rFonts w:hint="eastAsia"/>
              </w:rPr>
            </w:pPr>
          </w:p>
        </w:tc>
        <w:tc>
          <w:tcPr>
            <w:tcW w:w="2026" w:type="dxa"/>
            <w:tcBorders>
              <w:top w:val="nil"/>
              <w:left w:val="nil"/>
              <w:bottom w:val="single" w:color="000000" w:sz="4" w:space="0"/>
              <w:right w:val="single" w:color="000000" w:sz="4" w:space="0"/>
            </w:tcBorders>
            <w:noWrap/>
            <w:vAlign w:val="center"/>
          </w:tcPr>
          <w:p>
            <w:pPr>
              <w:rPr>
                <w:rFonts w:hint="eastAsia"/>
              </w:rPr>
            </w:pPr>
          </w:p>
        </w:tc>
        <w:tc>
          <w:tcPr>
            <w:tcW w:w="2027" w:type="dxa"/>
            <w:tcBorders>
              <w:top w:val="nil"/>
              <w:left w:val="nil"/>
              <w:bottom w:val="single" w:color="000000" w:sz="4" w:space="0"/>
              <w:right w:val="single" w:color="000000" w:sz="4" w:space="0"/>
            </w:tcBorders>
            <w:noWrap/>
            <w:vAlign w:val="center"/>
          </w:tcPr>
          <w:p>
            <w:pPr>
              <w:rPr>
                <w:rFonts w:hint="eastAsia"/>
              </w:rPr>
            </w:pPr>
          </w:p>
        </w:tc>
        <w:tc>
          <w:tcPr>
            <w:tcW w:w="2026" w:type="dxa"/>
            <w:tcBorders>
              <w:top w:val="nil"/>
              <w:left w:val="nil"/>
              <w:bottom w:val="single" w:color="000000" w:sz="4" w:space="0"/>
              <w:right w:val="single" w:color="000000" w:sz="4" w:space="0"/>
            </w:tcBorders>
            <w:noWrap/>
            <w:vAlign w:val="center"/>
          </w:tcPr>
          <w:p>
            <w:pPr>
              <w:rPr>
                <w:rFonts w:hint="eastAsia"/>
              </w:rPr>
            </w:pPr>
          </w:p>
        </w:tc>
        <w:tc>
          <w:tcPr>
            <w:tcW w:w="2034" w:type="dxa"/>
            <w:tcBorders>
              <w:top w:val="nil"/>
              <w:left w:val="nil"/>
              <w:bottom w:val="single" w:color="000000" w:sz="4" w:space="0"/>
              <w:right w:val="single" w:color="000000" w:sz="4" w:space="0"/>
            </w:tcBorders>
            <w:noWrap/>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206" w:type="dxa"/>
            <w:tcBorders>
              <w:top w:val="nil"/>
              <w:left w:val="single" w:color="000000" w:sz="4" w:space="0"/>
              <w:bottom w:val="single" w:color="000000" w:sz="4" w:space="0"/>
              <w:right w:val="single" w:color="000000" w:sz="4" w:space="0"/>
            </w:tcBorders>
            <w:noWrap w:val="0"/>
            <w:vAlign w:val="center"/>
          </w:tcPr>
          <w:p>
            <w:pPr>
              <w:rPr>
                <w:rFonts w:hint="eastAsia"/>
              </w:rPr>
            </w:pPr>
          </w:p>
        </w:tc>
        <w:tc>
          <w:tcPr>
            <w:tcW w:w="1342" w:type="dxa"/>
            <w:tcBorders>
              <w:top w:val="nil"/>
              <w:left w:val="nil"/>
              <w:bottom w:val="single" w:color="000000" w:sz="4" w:space="0"/>
              <w:right w:val="single" w:color="000000" w:sz="4" w:space="0"/>
            </w:tcBorders>
            <w:noWrap w:val="0"/>
            <w:vAlign w:val="center"/>
          </w:tcPr>
          <w:p>
            <w:pPr>
              <w:rPr>
                <w:rFonts w:hint="eastAsia"/>
              </w:rPr>
            </w:pPr>
          </w:p>
        </w:tc>
        <w:tc>
          <w:tcPr>
            <w:tcW w:w="2025" w:type="dxa"/>
            <w:tcBorders>
              <w:top w:val="nil"/>
              <w:left w:val="nil"/>
              <w:bottom w:val="single" w:color="000000" w:sz="4" w:space="0"/>
              <w:right w:val="single" w:color="000000" w:sz="4" w:space="0"/>
            </w:tcBorders>
            <w:noWrap/>
            <w:vAlign w:val="center"/>
          </w:tcPr>
          <w:p>
            <w:pPr>
              <w:rPr>
                <w:rFonts w:hint="eastAsia"/>
              </w:rPr>
            </w:pPr>
          </w:p>
        </w:tc>
        <w:tc>
          <w:tcPr>
            <w:tcW w:w="2025" w:type="dxa"/>
            <w:tcBorders>
              <w:top w:val="nil"/>
              <w:left w:val="nil"/>
              <w:bottom w:val="single" w:color="000000" w:sz="4" w:space="0"/>
              <w:right w:val="single" w:color="000000" w:sz="4" w:space="0"/>
            </w:tcBorders>
            <w:noWrap/>
            <w:vAlign w:val="center"/>
          </w:tcPr>
          <w:p>
            <w:pPr>
              <w:rPr>
                <w:rFonts w:hint="eastAsia"/>
              </w:rPr>
            </w:pPr>
          </w:p>
        </w:tc>
        <w:tc>
          <w:tcPr>
            <w:tcW w:w="2026" w:type="dxa"/>
            <w:tcBorders>
              <w:top w:val="nil"/>
              <w:left w:val="nil"/>
              <w:bottom w:val="single" w:color="000000" w:sz="4" w:space="0"/>
              <w:right w:val="single" w:color="000000" w:sz="4" w:space="0"/>
            </w:tcBorders>
            <w:noWrap/>
            <w:vAlign w:val="center"/>
          </w:tcPr>
          <w:p>
            <w:pPr>
              <w:rPr>
                <w:rFonts w:hint="eastAsia"/>
              </w:rPr>
            </w:pPr>
          </w:p>
        </w:tc>
        <w:tc>
          <w:tcPr>
            <w:tcW w:w="2027" w:type="dxa"/>
            <w:tcBorders>
              <w:top w:val="nil"/>
              <w:left w:val="nil"/>
              <w:bottom w:val="single" w:color="000000" w:sz="4" w:space="0"/>
              <w:right w:val="single" w:color="000000" w:sz="4" w:space="0"/>
            </w:tcBorders>
            <w:noWrap/>
            <w:vAlign w:val="center"/>
          </w:tcPr>
          <w:p>
            <w:pPr>
              <w:rPr>
                <w:rFonts w:hint="eastAsia"/>
              </w:rPr>
            </w:pPr>
          </w:p>
        </w:tc>
        <w:tc>
          <w:tcPr>
            <w:tcW w:w="2026" w:type="dxa"/>
            <w:tcBorders>
              <w:top w:val="nil"/>
              <w:left w:val="nil"/>
              <w:bottom w:val="single" w:color="000000" w:sz="4" w:space="0"/>
              <w:right w:val="single" w:color="000000" w:sz="4" w:space="0"/>
            </w:tcBorders>
            <w:noWrap/>
            <w:vAlign w:val="center"/>
          </w:tcPr>
          <w:p>
            <w:pPr>
              <w:rPr>
                <w:rFonts w:hint="eastAsia"/>
              </w:rPr>
            </w:pPr>
          </w:p>
        </w:tc>
        <w:tc>
          <w:tcPr>
            <w:tcW w:w="2034" w:type="dxa"/>
            <w:tcBorders>
              <w:top w:val="nil"/>
              <w:left w:val="nil"/>
              <w:bottom w:val="single" w:color="000000" w:sz="4" w:space="0"/>
              <w:right w:val="single" w:color="000000" w:sz="4" w:space="0"/>
            </w:tcBorders>
            <w:noWrap/>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206" w:type="dxa"/>
            <w:tcBorders>
              <w:top w:val="nil"/>
              <w:left w:val="single" w:color="000000" w:sz="4" w:space="0"/>
              <w:bottom w:val="single" w:color="000000" w:sz="4" w:space="0"/>
              <w:right w:val="single" w:color="000000" w:sz="4" w:space="0"/>
            </w:tcBorders>
            <w:noWrap/>
            <w:vAlign w:val="center"/>
          </w:tcPr>
          <w:p>
            <w:pPr>
              <w:rPr>
                <w:rFonts w:hint="eastAsia"/>
              </w:rPr>
            </w:pPr>
          </w:p>
        </w:tc>
        <w:tc>
          <w:tcPr>
            <w:tcW w:w="1342" w:type="dxa"/>
            <w:tcBorders>
              <w:top w:val="nil"/>
              <w:left w:val="nil"/>
              <w:bottom w:val="single" w:color="000000" w:sz="4" w:space="0"/>
              <w:right w:val="single" w:color="000000" w:sz="4" w:space="0"/>
            </w:tcBorders>
            <w:noWrap/>
            <w:vAlign w:val="center"/>
          </w:tcPr>
          <w:p>
            <w:pPr>
              <w:rPr>
                <w:rFonts w:hint="eastAsia"/>
              </w:rPr>
            </w:pPr>
          </w:p>
        </w:tc>
        <w:tc>
          <w:tcPr>
            <w:tcW w:w="2025" w:type="dxa"/>
            <w:tcBorders>
              <w:top w:val="nil"/>
              <w:left w:val="nil"/>
              <w:bottom w:val="single" w:color="000000" w:sz="4" w:space="0"/>
              <w:right w:val="single" w:color="000000" w:sz="4" w:space="0"/>
            </w:tcBorders>
            <w:noWrap/>
            <w:vAlign w:val="center"/>
          </w:tcPr>
          <w:p>
            <w:pPr>
              <w:rPr>
                <w:rFonts w:hint="eastAsia"/>
              </w:rPr>
            </w:pPr>
          </w:p>
        </w:tc>
        <w:tc>
          <w:tcPr>
            <w:tcW w:w="2025" w:type="dxa"/>
            <w:tcBorders>
              <w:top w:val="nil"/>
              <w:left w:val="nil"/>
              <w:bottom w:val="single" w:color="000000" w:sz="4" w:space="0"/>
              <w:right w:val="single" w:color="000000" w:sz="4" w:space="0"/>
            </w:tcBorders>
            <w:noWrap/>
            <w:vAlign w:val="center"/>
          </w:tcPr>
          <w:p>
            <w:pPr>
              <w:rPr>
                <w:rFonts w:hint="eastAsia"/>
              </w:rPr>
            </w:pPr>
          </w:p>
        </w:tc>
        <w:tc>
          <w:tcPr>
            <w:tcW w:w="2026" w:type="dxa"/>
            <w:tcBorders>
              <w:top w:val="nil"/>
              <w:left w:val="nil"/>
              <w:bottom w:val="single" w:color="000000" w:sz="4" w:space="0"/>
              <w:right w:val="single" w:color="000000" w:sz="4" w:space="0"/>
            </w:tcBorders>
            <w:noWrap/>
            <w:vAlign w:val="center"/>
          </w:tcPr>
          <w:p>
            <w:pPr>
              <w:rPr>
                <w:rFonts w:hint="eastAsia"/>
              </w:rPr>
            </w:pPr>
          </w:p>
        </w:tc>
        <w:tc>
          <w:tcPr>
            <w:tcW w:w="2027" w:type="dxa"/>
            <w:tcBorders>
              <w:top w:val="nil"/>
              <w:left w:val="nil"/>
              <w:bottom w:val="single" w:color="000000" w:sz="4" w:space="0"/>
              <w:right w:val="single" w:color="000000" w:sz="4" w:space="0"/>
            </w:tcBorders>
            <w:noWrap/>
            <w:vAlign w:val="center"/>
          </w:tcPr>
          <w:p>
            <w:pPr>
              <w:rPr>
                <w:rFonts w:hint="eastAsia"/>
              </w:rPr>
            </w:pPr>
          </w:p>
        </w:tc>
        <w:tc>
          <w:tcPr>
            <w:tcW w:w="2026" w:type="dxa"/>
            <w:tcBorders>
              <w:top w:val="nil"/>
              <w:left w:val="nil"/>
              <w:bottom w:val="single" w:color="000000" w:sz="4" w:space="0"/>
              <w:right w:val="single" w:color="000000" w:sz="4" w:space="0"/>
            </w:tcBorders>
            <w:noWrap/>
            <w:vAlign w:val="center"/>
          </w:tcPr>
          <w:p>
            <w:pPr>
              <w:rPr>
                <w:rFonts w:hint="eastAsia"/>
              </w:rPr>
            </w:pPr>
          </w:p>
        </w:tc>
        <w:tc>
          <w:tcPr>
            <w:tcW w:w="2034" w:type="dxa"/>
            <w:tcBorders>
              <w:top w:val="nil"/>
              <w:left w:val="nil"/>
              <w:bottom w:val="single" w:color="000000" w:sz="4" w:space="0"/>
              <w:right w:val="single" w:color="000000" w:sz="4" w:space="0"/>
            </w:tcBorders>
            <w:noWrap/>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206" w:type="dxa"/>
            <w:tcBorders>
              <w:top w:val="nil"/>
              <w:left w:val="single" w:color="000000" w:sz="4" w:space="0"/>
              <w:bottom w:val="single" w:color="000000" w:sz="4" w:space="0"/>
              <w:right w:val="single" w:color="000000" w:sz="4" w:space="0"/>
            </w:tcBorders>
            <w:noWrap/>
            <w:vAlign w:val="center"/>
          </w:tcPr>
          <w:p>
            <w:pPr>
              <w:rPr>
                <w:rFonts w:hint="eastAsia"/>
              </w:rPr>
            </w:pPr>
          </w:p>
        </w:tc>
        <w:tc>
          <w:tcPr>
            <w:tcW w:w="1342" w:type="dxa"/>
            <w:tcBorders>
              <w:top w:val="nil"/>
              <w:left w:val="nil"/>
              <w:bottom w:val="single" w:color="000000" w:sz="4" w:space="0"/>
              <w:right w:val="single" w:color="000000" w:sz="4" w:space="0"/>
            </w:tcBorders>
            <w:noWrap/>
            <w:vAlign w:val="center"/>
          </w:tcPr>
          <w:p>
            <w:pPr>
              <w:rPr>
                <w:rFonts w:hint="eastAsia"/>
              </w:rPr>
            </w:pPr>
          </w:p>
        </w:tc>
        <w:tc>
          <w:tcPr>
            <w:tcW w:w="2025" w:type="dxa"/>
            <w:tcBorders>
              <w:top w:val="nil"/>
              <w:left w:val="nil"/>
              <w:bottom w:val="single" w:color="000000" w:sz="4" w:space="0"/>
              <w:right w:val="single" w:color="000000" w:sz="4" w:space="0"/>
            </w:tcBorders>
            <w:noWrap/>
            <w:vAlign w:val="center"/>
          </w:tcPr>
          <w:p>
            <w:pPr>
              <w:rPr>
                <w:rFonts w:hint="eastAsia"/>
              </w:rPr>
            </w:pPr>
          </w:p>
        </w:tc>
        <w:tc>
          <w:tcPr>
            <w:tcW w:w="2025" w:type="dxa"/>
            <w:tcBorders>
              <w:top w:val="nil"/>
              <w:left w:val="nil"/>
              <w:bottom w:val="single" w:color="000000" w:sz="4" w:space="0"/>
              <w:right w:val="single" w:color="000000" w:sz="4" w:space="0"/>
            </w:tcBorders>
            <w:noWrap/>
            <w:vAlign w:val="center"/>
          </w:tcPr>
          <w:p>
            <w:pPr>
              <w:rPr>
                <w:rFonts w:hint="eastAsia"/>
              </w:rPr>
            </w:pPr>
          </w:p>
        </w:tc>
        <w:tc>
          <w:tcPr>
            <w:tcW w:w="2026" w:type="dxa"/>
            <w:tcBorders>
              <w:top w:val="nil"/>
              <w:left w:val="nil"/>
              <w:bottom w:val="single" w:color="000000" w:sz="4" w:space="0"/>
              <w:right w:val="single" w:color="000000" w:sz="4" w:space="0"/>
            </w:tcBorders>
            <w:noWrap/>
            <w:vAlign w:val="center"/>
          </w:tcPr>
          <w:p>
            <w:pPr>
              <w:rPr>
                <w:rFonts w:hint="eastAsia"/>
              </w:rPr>
            </w:pPr>
          </w:p>
        </w:tc>
        <w:tc>
          <w:tcPr>
            <w:tcW w:w="2027" w:type="dxa"/>
            <w:tcBorders>
              <w:top w:val="nil"/>
              <w:left w:val="nil"/>
              <w:bottom w:val="single" w:color="000000" w:sz="4" w:space="0"/>
              <w:right w:val="single" w:color="000000" w:sz="4" w:space="0"/>
            </w:tcBorders>
            <w:noWrap/>
            <w:vAlign w:val="center"/>
          </w:tcPr>
          <w:p>
            <w:pPr>
              <w:rPr>
                <w:rFonts w:hint="eastAsia"/>
              </w:rPr>
            </w:pPr>
          </w:p>
        </w:tc>
        <w:tc>
          <w:tcPr>
            <w:tcW w:w="2026" w:type="dxa"/>
            <w:tcBorders>
              <w:top w:val="nil"/>
              <w:left w:val="nil"/>
              <w:bottom w:val="single" w:color="000000" w:sz="4" w:space="0"/>
              <w:right w:val="single" w:color="000000" w:sz="4" w:space="0"/>
            </w:tcBorders>
            <w:noWrap/>
            <w:vAlign w:val="center"/>
          </w:tcPr>
          <w:p>
            <w:pPr>
              <w:rPr>
                <w:rFonts w:hint="eastAsia"/>
              </w:rPr>
            </w:pPr>
          </w:p>
        </w:tc>
        <w:tc>
          <w:tcPr>
            <w:tcW w:w="2034" w:type="dxa"/>
            <w:tcBorders>
              <w:top w:val="nil"/>
              <w:left w:val="nil"/>
              <w:bottom w:val="single" w:color="000000" w:sz="4" w:space="0"/>
              <w:right w:val="single" w:color="000000" w:sz="4" w:space="0"/>
            </w:tcBorders>
            <w:noWrap/>
            <w:vAlign w:val="center"/>
          </w:tcPr>
          <w:p>
            <w:pPr>
              <w:rPr>
                <w:rFonts w:hint="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4711" w:type="dxa"/>
            <w:gridSpan w:val="8"/>
            <w:tcBorders>
              <w:top w:val="nil"/>
              <w:left w:val="single" w:color="000000" w:sz="4" w:space="0"/>
              <w:bottom w:val="single" w:color="000000" w:sz="4" w:space="0"/>
              <w:right w:val="single" w:color="000000" w:sz="4" w:space="0"/>
            </w:tcBorders>
            <w:noWrap/>
            <w:vAlign w:val="center"/>
          </w:tcPr>
          <w:p>
            <w:pPr>
              <w:rPr>
                <w:rFonts w:hint="eastAsia"/>
              </w:rPr>
            </w:pPr>
            <w:r>
              <w:rPr>
                <w:rFonts w:hint="eastAsia"/>
              </w:rPr>
              <w:t>注：本表反映部门本年度</w:t>
            </w:r>
            <w:r>
              <w:rPr>
                <w:rFonts w:hint="eastAsia"/>
                <w:lang w:eastAsia="zh-CN"/>
              </w:rPr>
              <w:t>国有资本经营</w:t>
            </w:r>
            <w:r>
              <w:rPr>
                <w:rFonts w:hint="eastAsia"/>
              </w:rPr>
              <w:t>预算财政拨款收入、支出及结转和结余情况。</w:t>
            </w:r>
          </w:p>
        </w:tc>
      </w:tr>
    </w:tbl>
    <w:p>
      <w:pPr>
        <w:widowControl/>
        <w:spacing w:line="590" w:lineRule="exact"/>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说明：我</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没有</w:t>
      </w:r>
      <w:r>
        <w:rPr>
          <w:rFonts w:hint="eastAsia" w:ascii="仿宋_GB2312" w:hAnsi="仿宋_GB2312" w:eastAsia="仿宋_GB2312" w:cs="仿宋_GB2312"/>
          <w:sz w:val="32"/>
          <w:szCs w:val="32"/>
          <w:lang w:eastAsia="zh-CN"/>
        </w:rPr>
        <w:t>国有资本经营</w:t>
      </w:r>
      <w:r>
        <w:rPr>
          <w:rFonts w:hint="eastAsia" w:ascii="仿宋_GB2312" w:hAnsi="仿宋_GB2312" w:eastAsia="仿宋_GB2312" w:cs="仿宋_GB2312"/>
          <w:sz w:val="32"/>
          <w:szCs w:val="32"/>
        </w:rPr>
        <w:t>收入，故本表无数据。</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jc w:val="center"/>
        <w:outlineLvl w:val="0"/>
        <w:rPr>
          <w:rFonts w:ascii="黑体" w:hAnsi="黑体" w:eastAsia="黑体" w:cs="黑体"/>
          <w:sz w:val="48"/>
          <w:szCs w:val="48"/>
        </w:rPr>
      </w:pPr>
      <w:r>
        <w:rPr>
          <w:rFonts w:hint="eastAsia" w:ascii="黑体" w:hAnsi="黑体" w:eastAsia="黑体" w:cs="黑体"/>
          <w:sz w:val="48"/>
          <w:szCs w:val="48"/>
        </w:rPr>
        <w:t>第三部分 20</w:t>
      </w:r>
      <w:r>
        <w:rPr>
          <w:rFonts w:ascii="黑体" w:hAnsi="黑体" w:eastAsia="黑体" w:cs="黑体"/>
          <w:sz w:val="48"/>
          <w:szCs w:val="48"/>
        </w:rPr>
        <w:t>2</w:t>
      </w:r>
      <w:r>
        <w:rPr>
          <w:rFonts w:hint="eastAsia" w:ascii="黑体" w:hAnsi="黑体" w:eastAsia="黑体" w:cs="黑体"/>
          <w:sz w:val="48"/>
          <w:szCs w:val="48"/>
        </w:rPr>
        <w:t>1年度部门决算情况说明</w:t>
      </w:r>
    </w:p>
    <w:p>
      <w:pPr>
        <w:widowControl/>
        <w:jc w:val="left"/>
        <w:rPr>
          <w:rFonts w:ascii="黑体" w:hAnsi="黑体" w:eastAsia="黑体" w:cs="黑体"/>
          <w:sz w:val="48"/>
          <w:szCs w:val="48"/>
        </w:rPr>
        <w:sectPr>
          <w:pgSz w:w="11906" w:h="16838"/>
          <w:pgMar w:top="1440" w:right="1800" w:bottom="1440" w:left="1800" w:header="720" w:footer="720" w:gutter="0"/>
          <w:pgNumType w:fmt="numberInDash"/>
          <w:cols w:space="720" w:num="1"/>
          <w:docGrid w:type="lines" w:linePitch="312" w:charSpace="0"/>
        </w:sectPr>
      </w:pPr>
    </w:p>
    <w:p>
      <w:pPr>
        <w:widowControl/>
        <w:spacing w:line="590" w:lineRule="exact"/>
        <w:ind w:firstLine="640" w:firstLineChars="200"/>
        <w:outlineLvl w:val="1"/>
        <w:rPr>
          <w:rFonts w:ascii="黑体" w:hAnsi="黑体" w:eastAsia="黑体" w:cs="黑体"/>
          <w:sz w:val="32"/>
          <w:szCs w:val="32"/>
        </w:rPr>
      </w:pPr>
      <w:r>
        <w:rPr>
          <w:rFonts w:hint="eastAsia" w:ascii="黑体" w:hAnsi="黑体" w:eastAsia="黑体" w:cs="黑体"/>
          <w:sz w:val="32"/>
          <w:szCs w:val="32"/>
        </w:rPr>
        <w:t>一、收入支出决算总体情况说明</w:t>
      </w:r>
    </w:p>
    <w:p>
      <w:pPr>
        <w:widowControl/>
        <w:ind w:firstLine="640" w:firstLineChars="200"/>
        <w:jc w:val="left"/>
        <w:rPr>
          <w:rFonts w:ascii="仿宋" w:hAnsi="仿宋" w:eastAsia="仿宋" w:cs="仿宋"/>
          <w:sz w:val="32"/>
          <w:szCs w:val="32"/>
        </w:rPr>
      </w:pPr>
      <w:r>
        <w:rPr>
          <w:rFonts w:hint="eastAsia" w:ascii="仿宋" w:hAnsi="仿宋" w:eastAsia="仿宋" w:cs="仿宋"/>
          <w:sz w:val="32"/>
          <w:szCs w:val="32"/>
          <w:lang w:val="zh-CN"/>
        </w:rPr>
        <w:t>202</w:t>
      </w:r>
      <w:r>
        <w:rPr>
          <w:rFonts w:hint="eastAsia" w:ascii="仿宋" w:hAnsi="仿宋" w:eastAsia="仿宋" w:cs="仿宋"/>
          <w:sz w:val="32"/>
          <w:szCs w:val="32"/>
        </w:rPr>
        <w:t>1</w:t>
      </w:r>
      <w:r>
        <w:rPr>
          <w:rFonts w:hint="eastAsia" w:ascii="仿宋" w:hAnsi="仿宋" w:eastAsia="仿宋" w:cs="仿宋"/>
          <w:sz w:val="32"/>
          <w:szCs w:val="32"/>
          <w:lang w:val="zh-CN"/>
        </w:rPr>
        <w:t>年度收</w:t>
      </w:r>
      <w:r>
        <w:rPr>
          <w:rFonts w:hint="eastAsia" w:ascii="仿宋" w:hAnsi="仿宋" w:eastAsia="仿宋" w:cs="仿宋"/>
          <w:sz w:val="32"/>
          <w:szCs w:val="32"/>
        </w:rPr>
        <w:t>入为78220.7万元，较去年同期83993.87万元减少5773.17万元，同比下降6.87%；支出为81652.74万元，较去年同期80065.13万元增加1587.61万元，同比增长1.98%。</w:t>
      </w:r>
      <w:r>
        <w:rPr>
          <w:rFonts w:hint="eastAsia" w:ascii="仿宋" w:hAnsi="仿宋" w:eastAsia="仿宋" w:cs="仿宋"/>
          <w:sz w:val="32"/>
          <w:szCs w:val="32"/>
          <w:lang w:val="zh-CN"/>
        </w:rPr>
        <w:t>与上年度相比，收</w:t>
      </w:r>
      <w:r>
        <w:rPr>
          <w:rFonts w:hint="eastAsia" w:ascii="仿宋" w:hAnsi="仿宋" w:eastAsia="仿宋" w:cs="仿宋"/>
          <w:sz w:val="32"/>
          <w:szCs w:val="32"/>
        </w:rPr>
        <w:t>入有所下降</w:t>
      </w:r>
      <w:r>
        <w:rPr>
          <w:rFonts w:hint="eastAsia" w:ascii="仿宋" w:hAnsi="仿宋" w:eastAsia="仿宋" w:cs="仿宋"/>
          <w:sz w:val="32"/>
          <w:szCs w:val="32"/>
          <w:lang w:val="zh-CN"/>
        </w:rPr>
        <w:t>，</w:t>
      </w:r>
      <w:r>
        <w:rPr>
          <w:rFonts w:hint="eastAsia" w:ascii="仿宋" w:hAnsi="仿宋" w:eastAsia="仿宋" w:cs="仿宋"/>
          <w:sz w:val="32"/>
          <w:szCs w:val="32"/>
        </w:rPr>
        <w:t>支出有所增长，主要原因是突发新冠肺炎疫情，导致收入有所降低；债务性收入、支出增加较多导致增幅较大。</w:t>
      </w:r>
    </w:p>
    <w:p>
      <w:pPr>
        <w:widowControl/>
        <w:spacing w:line="590" w:lineRule="exact"/>
        <w:ind w:firstLine="640" w:firstLineChars="200"/>
        <w:outlineLvl w:val="1"/>
        <w:rPr>
          <w:rFonts w:ascii="黑体" w:hAnsi="黑体" w:eastAsia="黑体" w:cs="黑体"/>
          <w:sz w:val="32"/>
          <w:szCs w:val="32"/>
        </w:rPr>
      </w:pPr>
      <w:r>
        <w:rPr>
          <w:rFonts w:hint="eastAsia" w:ascii="黑体" w:hAnsi="黑体" w:eastAsia="黑体" w:cs="黑体"/>
          <w:sz w:val="32"/>
          <w:szCs w:val="32"/>
        </w:rPr>
        <w:t>二、收入决算情况说明</w:t>
      </w:r>
    </w:p>
    <w:p>
      <w:pPr>
        <w:ind w:firstLine="640" w:firstLineChars="200"/>
        <w:jc w:val="left"/>
        <w:rPr>
          <w:rFonts w:ascii="仿宋" w:hAnsi="仿宋" w:eastAsia="仿宋" w:cs="仿宋"/>
          <w:sz w:val="32"/>
          <w:szCs w:val="32"/>
          <w:lang w:val="zh-CN"/>
        </w:rPr>
      </w:pPr>
      <w:r>
        <w:rPr>
          <w:rFonts w:hint="eastAsia" w:ascii="仿宋" w:hAnsi="仿宋" w:eastAsia="仿宋" w:cs="仿宋"/>
          <w:sz w:val="32"/>
          <w:szCs w:val="32"/>
          <w:lang w:val="zh-CN"/>
        </w:rPr>
        <w:t>202</w:t>
      </w:r>
      <w:r>
        <w:rPr>
          <w:rFonts w:hint="eastAsia" w:ascii="仿宋" w:hAnsi="仿宋" w:eastAsia="仿宋" w:cs="仿宋"/>
          <w:sz w:val="32"/>
          <w:szCs w:val="32"/>
        </w:rPr>
        <w:t>1</w:t>
      </w:r>
      <w:r>
        <w:rPr>
          <w:rFonts w:hint="eastAsia" w:ascii="仿宋" w:hAnsi="仿宋" w:eastAsia="仿宋" w:cs="仿宋"/>
          <w:sz w:val="32"/>
          <w:szCs w:val="32"/>
          <w:lang w:val="zh-CN"/>
        </w:rPr>
        <w:t>年度收入合计</w:t>
      </w:r>
      <w:r>
        <w:rPr>
          <w:rFonts w:hint="eastAsia" w:ascii="仿宋" w:hAnsi="仿宋" w:eastAsia="仿宋" w:cs="仿宋"/>
          <w:sz w:val="32"/>
          <w:szCs w:val="32"/>
        </w:rPr>
        <w:t>78220.7</w:t>
      </w:r>
      <w:r>
        <w:rPr>
          <w:rFonts w:hint="eastAsia" w:ascii="仿宋" w:hAnsi="仿宋" w:eastAsia="仿宋" w:cs="仿宋"/>
          <w:sz w:val="32"/>
          <w:szCs w:val="32"/>
          <w:lang w:val="zh-CN"/>
        </w:rPr>
        <w:t>万元，其中：财政拨款收入</w:t>
      </w:r>
      <w:r>
        <w:rPr>
          <w:rFonts w:hint="eastAsia" w:ascii="仿宋" w:hAnsi="仿宋" w:eastAsia="仿宋" w:cs="仿宋"/>
          <w:sz w:val="32"/>
          <w:szCs w:val="32"/>
        </w:rPr>
        <w:t>2185.53</w:t>
      </w:r>
      <w:r>
        <w:rPr>
          <w:rFonts w:hint="eastAsia" w:ascii="仿宋" w:hAnsi="仿宋" w:eastAsia="仿宋" w:cs="仿宋"/>
          <w:sz w:val="32"/>
          <w:szCs w:val="32"/>
          <w:lang w:val="zh-CN"/>
        </w:rPr>
        <w:t>万元，占</w:t>
      </w:r>
      <w:r>
        <w:rPr>
          <w:rFonts w:hint="eastAsia" w:ascii="仿宋" w:hAnsi="仿宋" w:eastAsia="仿宋" w:cs="仿宋"/>
          <w:sz w:val="32"/>
          <w:szCs w:val="32"/>
        </w:rPr>
        <w:t>2.796</w:t>
      </w:r>
      <w:r>
        <w:rPr>
          <w:rFonts w:hint="eastAsia" w:ascii="仿宋" w:hAnsi="仿宋" w:eastAsia="仿宋" w:cs="仿宋"/>
          <w:sz w:val="32"/>
          <w:szCs w:val="32"/>
          <w:lang w:val="zh-CN"/>
        </w:rPr>
        <w:t>%；事业收入</w:t>
      </w:r>
      <w:r>
        <w:rPr>
          <w:rFonts w:hint="eastAsia" w:ascii="仿宋" w:hAnsi="仿宋" w:eastAsia="仿宋" w:cs="仿宋"/>
          <w:sz w:val="32"/>
          <w:szCs w:val="32"/>
        </w:rPr>
        <w:t>49519.2</w:t>
      </w:r>
      <w:r>
        <w:rPr>
          <w:rFonts w:hint="eastAsia" w:ascii="仿宋" w:hAnsi="仿宋" w:eastAsia="仿宋" w:cs="仿宋"/>
          <w:sz w:val="32"/>
          <w:szCs w:val="32"/>
          <w:lang w:val="zh-CN"/>
        </w:rPr>
        <w:t>万元，占</w:t>
      </w:r>
      <w:r>
        <w:rPr>
          <w:rFonts w:hint="eastAsia" w:ascii="仿宋" w:hAnsi="仿宋" w:eastAsia="仿宋" w:cs="仿宋"/>
          <w:sz w:val="32"/>
          <w:szCs w:val="32"/>
        </w:rPr>
        <w:t>63.31%</w:t>
      </w:r>
      <w:r>
        <w:rPr>
          <w:rFonts w:hint="eastAsia" w:ascii="仿宋" w:hAnsi="仿宋" w:eastAsia="仿宋" w:cs="仿宋"/>
          <w:sz w:val="32"/>
          <w:szCs w:val="32"/>
          <w:lang w:val="zh-CN"/>
        </w:rPr>
        <w:t>；其他收入</w:t>
      </w:r>
      <w:r>
        <w:rPr>
          <w:rFonts w:hint="eastAsia" w:ascii="仿宋" w:hAnsi="仿宋" w:eastAsia="仿宋" w:cs="仿宋"/>
          <w:sz w:val="32"/>
          <w:szCs w:val="32"/>
        </w:rPr>
        <w:t>26515.96万元，</w:t>
      </w:r>
      <w:r>
        <w:rPr>
          <w:rFonts w:hint="eastAsia" w:ascii="仿宋" w:hAnsi="仿宋" w:eastAsia="仿宋" w:cs="仿宋"/>
          <w:sz w:val="32"/>
          <w:szCs w:val="32"/>
          <w:lang w:val="zh-CN"/>
        </w:rPr>
        <w:t>占</w:t>
      </w:r>
      <w:r>
        <w:rPr>
          <w:rFonts w:hint="eastAsia" w:ascii="仿宋" w:hAnsi="仿宋" w:eastAsia="仿宋" w:cs="仿宋"/>
          <w:sz w:val="32"/>
          <w:szCs w:val="32"/>
        </w:rPr>
        <w:t>33.9</w:t>
      </w:r>
      <w:r>
        <w:rPr>
          <w:rFonts w:hint="eastAsia" w:ascii="仿宋" w:hAnsi="仿宋" w:eastAsia="仿宋" w:cs="仿宋"/>
          <w:sz w:val="32"/>
          <w:szCs w:val="32"/>
          <w:lang w:val="zh-CN"/>
        </w:rPr>
        <w:t>%。</w:t>
      </w:r>
    </w:p>
    <w:p>
      <w:pPr>
        <w:widowControl/>
        <w:spacing w:line="590" w:lineRule="exact"/>
        <w:ind w:firstLine="640" w:firstLineChars="200"/>
        <w:outlineLvl w:val="1"/>
        <w:rPr>
          <w:rFonts w:ascii="黑体" w:hAnsi="黑体" w:eastAsia="黑体" w:cs="黑体"/>
          <w:sz w:val="32"/>
          <w:szCs w:val="32"/>
        </w:rPr>
      </w:pPr>
      <w:r>
        <w:rPr>
          <w:rFonts w:hint="eastAsia" w:ascii="黑体" w:hAnsi="黑体" w:eastAsia="黑体" w:cs="黑体"/>
          <w:sz w:val="32"/>
          <w:szCs w:val="32"/>
        </w:rPr>
        <w:t>三、支出决算情况说明</w:t>
      </w:r>
    </w:p>
    <w:p>
      <w:pPr>
        <w:ind w:firstLine="640" w:firstLineChars="200"/>
        <w:jc w:val="left"/>
        <w:rPr>
          <w:rFonts w:ascii="仿宋" w:hAnsi="仿宋" w:eastAsia="仿宋" w:cs="仿宋"/>
          <w:sz w:val="32"/>
          <w:szCs w:val="32"/>
          <w:lang w:val="zh-CN"/>
        </w:rPr>
      </w:pPr>
      <w:r>
        <w:rPr>
          <w:rFonts w:hint="eastAsia" w:ascii="仿宋" w:hAnsi="仿宋" w:eastAsia="仿宋" w:cs="仿宋"/>
          <w:sz w:val="32"/>
          <w:szCs w:val="32"/>
          <w:lang w:val="zh-CN"/>
        </w:rPr>
        <w:t>202</w:t>
      </w:r>
      <w:r>
        <w:rPr>
          <w:rFonts w:hint="eastAsia" w:ascii="仿宋" w:hAnsi="仿宋" w:eastAsia="仿宋" w:cs="仿宋"/>
          <w:sz w:val="32"/>
          <w:szCs w:val="32"/>
        </w:rPr>
        <w:t>1</w:t>
      </w:r>
      <w:r>
        <w:rPr>
          <w:rFonts w:hint="eastAsia" w:ascii="仿宋" w:hAnsi="仿宋" w:eastAsia="仿宋" w:cs="仿宋"/>
          <w:sz w:val="32"/>
          <w:szCs w:val="32"/>
          <w:lang w:val="zh-CN"/>
        </w:rPr>
        <w:t>年度支出合计</w:t>
      </w:r>
      <w:r>
        <w:rPr>
          <w:rFonts w:hint="eastAsia" w:ascii="仿宋" w:hAnsi="仿宋" w:eastAsia="仿宋" w:cs="仿宋"/>
          <w:sz w:val="32"/>
          <w:szCs w:val="32"/>
        </w:rPr>
        <w:t>81652.74</w:t>
      </w:r>
      <w:r>
        <w:rPr>
          <w:rFonts w:hint="eastAsia" w:ascii="仿宋" w:hAnsi="仿宋" w:eastAsia="仿宋" w:cs="仿宋"/>
          <w:sz w:val="32"/>
          <w:szCs w:val="32"/>
          <w:lang w:val="zh-CN"/>
        </w:rPr>
        <w:t>万元，其中：基本支出</w:t>
      </w:r>
      <w:r>
        <w:rPr>
          <w:rFonts w:hint="eastAsia" w:ascii="仿宋" w:hAnsi="仿宋" w:eastAsia="仿宋" w:cs="仿宋"/>
          <w:sz w:val="32"/>
          <w:szCs w:val="32"/>
        </w:rPr>
        <w:t>80849.74</w:t>
      </w:r>
      <w:r>
        <w:rPr>
          <w:rFonts w:hint="eastAsia" w:ascii="仿宋" w:hAnsi="仿宋" w:eastAsia="仿宋" w:cs="仿宋"/>
          <w:sz w:val="32"/>
          <w:szCs w:val="32"/>
          <w:lang w:val="zh-CN"/>
        </w:rPr>
        <w:t>万元，占</w:t>
      </w:r>
      <w:r>
        <w:rPr>
          <w:rFonts w:hint="eastAsia" w:ascii="仿宋" w:hAnsi="仿宋" w:eastAsia="仿宋" w:cs="仿宋"/>
          <w:sz w:val="32"/>
          <w:szCs w:val="32"/>
        </w:rPr>
        <w:t>99.02</w:t>
      </w:r>
      <w:r>
        <w:rPr>
          <w:rFonts w:hint="eastAsia" w:ascii="仿宋" w:hAnsi="仿宋" w:eastAsia="仿宋" w:cs="仿宋"/>
          <w:sz w:val="32"/>
          <w:szCs w:val="32"/>
          <w:lang w:val="zh-CN"/>
        </w:rPr>
        <w:t>%；项目支出</w:t>
      </w:r>
      <w:r>
        <w:rPr>
          <w:rFonts w:hint="eastAsia" w:ascii="仿宋" w:hAnsi="仿宋" w:eastAsia="仿宋" w:cs="仿宋"/>
          <w:sz w:val="32"/>
          <w:szCs w:val="32"/>
        </w:rPr>
        <w:t>803</w:t>
      </w:r>
      <w:r>
        <w:rPr>
          <w:rFonts w:hint="eastAsia" w:ascii="仿宋" w:hAnsi="仿宋" w:eastAsia="仿宋" w:cs="仿宋"/>
          <w:sz w:val="32"/>
          <w:szCs w:val="32"/>
          <w:lang w:val="zh-CN"/>
        </w:rPr>
        <w:t>万元，占</w:t>
      </w:r>
      <w:r>
        <w:rPr>
          <w:rFonts w:hint="eastAsia" w:ascii="仿宋" w:hAnsi="仿宋" w:eastAsia="仿宋" w:cs="仿宋"/>
          <w:sz w:val="32"/>
          <w:szCs w:val="32"/>
        </w:rPr>
        <w:t>0.98</w:t>
      </w:r>
      <w:r>
        <w:rPr>
          <w:rFonts w:hint="eastAsia" w:ascii="仿宋" w:hAnsi="仿宋" w:eastAsia="仿宋" w:cs="仿宋"/>
          <w:sz w:val="32"/>
          <w:szCs w:val="32"/>
          <w:lang w:val="zh-CN"/>
        </w:rPr>
        <w:t>%。</w:t>
      </w:r>
    </w:p>
    <w:p>
      <w:pPr>
        <w:widowControl/>
        <w:spacing w:line="590" w:lineRule="exact"/>
        <w:ind w:firstLine="640" w:firstLineChars="200"/>
        <w:outlineLvl w:val="1"/>
        <w:rPr>
          <w:rFonts w:ascii="黑体" w:hAnsi="黑体" w:eastAsia="黑体" w:cs="黑体"/>
          <w:sz w:val="32"/>
          <w:szCs w:val="32"/>
        </w:rPr>
      </w:pPr>
      <w:r>
        <w:rPr>
          <w:rFonts w:hint="eastAsia" w:ascii="黑体" w:hAnsi="黑体" w:eastAsia="黑体" w:cs="黑体"/>
          <w:sz w:val="32"/>
          <w:szCs w:val="32"/>
        </w:rPr>
        <w:t>四、财政拨款收入支出决算总体情况说明</w:t>
      </w:r>
    </w:p>
    <w:p>
      <w:pPr>
        <w:widowControl/>
        <w:ind w:firstLine="640" w:firstLineChars="200"/>
        <w:jc w:val="left"/>
        <w:rPr>
          <w:rFonts w:ascii="仿宋_GB2312" w:hAnsi="仿宋_GB2312" w:eastAsia="仿宋" w:cs="仿宋_GB2312"/>
          <w:sz w:val="32"/>
          <w:szCs w:val="32"/>
        </w:rPr>
      </w:pPr>
      <w:r>
        <w:rPr>
          <w:rFonts w:hint="eastAsia" w:ascii="仿宋" w:hAnsi="仿宋" w:eastAsia="仿宋" w:cs="仿宋"/>
          <w:sz w:val="32"/>
          <w:szCs w:val="32"/>
          <w:lang w:val="zh-CN"/>
        </w:rPr>
        <w:t>202</w:t>
      </w:r>
      <w:r>
        <w:rPr>
          <w:rFonts w:hint="eastAsia" w:ascii="仿宋" w:hAnsi="仿宋" w:eastAsia="仿宋" w:cs="仿宋"/>
          <w:sz w:val="32"/>
          <w:szCs w:val="32"/>
        </w:rPr>
        <w:t>1</w:t>
      </w:r>
      <w:r>
        <w:rPr>
          <w:rFonts w:hint="eastAsia" w:ascii="仿宋" w:hAnsi="仿宋" w:eastAsia="仿宋" w:cs="仿宋"/>
          <w:sz w:val="32"/>
          <w:szCs w:val="32"/>
          <w:lang w:val="zh-CN"/>
        </w:rPr>
        <w:t>年度</w:t>
      </w:r>
      <w:r>
        <w:rPr>
          <w:rFonts w:hint="eastAsia" w:ascii="仿宋" w:hAnsi="仿宋" w:eastAsia="仿宋" w:cs="仿宋"/>
          <w:sz w:val="32"/>
          <w:szCs w:val="32"/>
        </w:rPr>
        <w:t>财政拨款</w:t>
      </w:r>
      <w:r>
        <w:rPr>
          <w:rFonts w:hint="eastAsia" w:ascii="仿宋" w:hAnsi="仿宋" w:eastAsia="仿宋" w:cs="仿宋"/>
          <w:sz w:val="32"/>
          <w:szCs w:val="32"/>
          <w:lang w:val="zh-CN"/>
        </w:rPr>
        <w:t>收</w:t>
      </w:r>
      <w:r>
        <w:rPr>
          <w:rFonts w:hint="eastAsia" w:ascii="仿宋" w:hAnsi="仿宋" w:eastAsia="仿宋" w:cs="仿宋"/>
          <w:sz w:val="32"/>
          <w:szCs w:val="32"/>
        </w:rPr>
        <w:t>入为2185.53万元，较去年同期3749.94万元减少1564.41万元，同比降低41.72%；支出为2542.14万元，较去年同期3242.52万元减少700.38万元，同比降低21.6%。</w:t>
      </w:r>
      <w:r>
        <w:rPr>
          <w:rFonts w:hint="eastAsia" w:ascii="仿宋" w:hAnsi="仿宋" w:eastAsia="仿宋" w:cs="仿宋"/>
          <w:sz w:val="32"/>
          <w:szCs w:val="32"/>
          <w:lang w:val="zh-CN"/>
        </w:rPr>
        <w:t>与上年度相比，收、支</w:t>
      </w:r>
      <w:r>
        <w:rPr>
          <w:rFonts w:hint="eastAsia" w:ascii="仿宋" w:hAnsi="仿宋" w:eastAsia="仿宋" w:cs="仿宋"/>
          <w:sz w:val="32"/>
          <w:szCs w:val="32"/>
        </w:rPr>
        <w:t>均有所减少，主要原因是20年</w:t>
      </w:r>
      <w:r>
        <w:rPr>
          <w:rFonts w:hint="eastAsia" w:ascii="仿宋" w:hAnsi="仿宋" w:eastAsia="仿宋" w:cs="仿宋"/>
          <w:color w:val="000000"/>
          <w:kern w:val="0"/>
          <w:sz w:val="32"/>
          <w:szCs w:val="32"/>
          <w:lang w:bidi="ar"/>
        </w:rPr>
        <w:t>公立医院</w:t>
      </w:r>
      <w:r>
        <w:rPr>
          <w:rFonts w:hint="eastAsia" w:ascii="仿宋" w:hAnsi="仿宋" w:eastAsia="仿宋" w:cs="仿宋"/>
          <w:sz w:val="32"/>
          <w:szCs w:val="32"/>
        </w:rPr>
        <w:t>收到</w:t>
      </w:r>
      <w:r>
        <w:rPr>
          <w:rFonts w:hint="eastAsia" w:ascii="仿宋" w:hAnsi="仿宋" w:eastAsia="仿宋" w:cs="仿宋"/>
          <w:color w:val="000000"/>
          <w:kern w:val="0"/>
          <w:sz w:val="32"/>
          <w:szCs w:val="32"/>
          <w:lang w:bidi="ar"/>
        </w:rPr>
        <w:t>公立医院的财政拨款收入增长幅度较大以及公立医院的新冠疫情相关业务量增加导致支出的增加。</w:t>
      </w:r>
    </w:p>
    <w:p>
      <w:pPr>
        <w:widowControl/>
        <w:numPr>
          <w:ilvl w:val="0"/>
          <w:numId w:val="1"/>
        </w:numPr>
        <w:spacing w:line="59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一般公共预算财政拨款支出决算情况说明</w:t>
      </w:r>
    </w:p>
    <w:p>
      <w:pPr>
        <w:widowControl/>
        <w:numPr>
          <w:numId w:val="0"/>
        </w:numPr>
        <w:spacing w:line="590" w:lineRule="exact"/>
        <w:ind w:firstLine="643" w:firstLineChars="200"/>
        <w:outlineLvl w:val="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（一）总体情况。</w:t>
      </w:r>
    </w:p>
    <w:p>
      <w:pPr>
        <w:widowControl/>
        <w:spacing w:line="590" w:lineRule="exact"/>
        <w:ind w:firstLine="640" w:firstLineChars="200"/>
        <w:rPr>
          <w:rFonts w:ascii="仿宋" w:hAnsi="仿宋" w:eastAsia="仿宋" w:cs="仿宋"/>
          <w:sz w:val="32"/>
          <w:szCs w:val="32"/>
          <w:highlight w:val="yellow"/>
        </w:rPr>
      </w:pPr>
      <w:r>
        <w:rPr>
          <w:rFonts w:hint="eastAsia" w:ascii="仿宋" w:hAnsi="仿宋" w:eastAsia="仿宋" w:cs="仿宋"/>
          <w:sz w:val="32"/>
          <w:szCs w:val="32"/>
          <w:lang w:val="zh-CN"/>
        </w:rPr>
        <w:t>202</w:t>
      </w:r>
      <w:r>
        <w:rPr>
          <w:rFonts w:hint="eastAsia" w:ascii="仿宋" w:hAnsi="仿宋" w:eastAsia="仿宋" w:cs="仿宋"/>
          <w:sz w:val="32"/>
          <w:szCs w:val="32"/>
        </w:rPr>
        <w:t>1</w:t>
      </w:r>
      <w:r>
        <w:rPr>
          <w:rFonts w:hint="eastAsia" w:ascii="仿宋" w:hAnsi="仿宋" w:eastAsia="仿宋" w:cs="仿宋"/>
          <w:sz w:val="32"/>
          <w:szCs w:val="32"/>
          <w:lang w:val="zh-CN"/>
        </w:rPr>
        <w:t>年度一般公共预算财政拨款支出</w:t>
      </w:r>
      <w:r>
        <w:rPr>
          <w:rFonts w:hint="eastAsia" w:ascii="仿宋" w:hAnsi="仿宋" w:eastAsia="仿宋" w:cs="仿宋"/>
          <w:sz w:val="32"/>
          <w:szCs w:val="32"/>
        </w:rPr>
        <w:t>2542.14</w:t>
      </w:r>
      <w:r>
        <w:rPr>
          <w:rFonts w:hint="eastAsia" w:ascii="仿宋" w:hAnsi="仿宋" w:eastAsia="仿宋" w:cs="仿宋"/>
          <w:sz w:val="32"/>
          <w:szCs w:val="32"/>
          <w:lang w:val="zh-CN"/>
        </w:rPr>
        <w:t>万元，占支出合计的</w:t>
      </w:r>
      <w:r>
        <w:rPr>
          <w:rFonts w:hint="eastAsia" w:ascii="仿宋" w:hAnsi="仿宋" w:eastAsia="仿宋" w:cs="仿宋"/>
          <w:sz w:val="32"/>
          <w:szCs w:val="32"/>
        </w:rPr>
        <w:t>3.11</w:t>
      </w:r>
      <w:r>
        <w:rPr>
          <w:rFonts w:hint="eastAsia" w:ascii="仿宋" w:hAnsi="仿宋" w:eastAsia="仿宋" w:cs="仿宋"/>
          <w:sz w:val="32"/>
          <w:szCs w:val="32"/>
          <w:lang w:val="zh-CN"/>
        </w:rPr>
        <w:t>%。与上年度相比，一般公共预算财政拨款支出</w:t>
      </w:r>
      <w:r>
        <w:rPr>
          <w:rFonts w:hint="eastAsia" w:ascii="仿宋" w:hAnsi="仿宋" w:eastAsia="仿宋" w:cs="仿宋"/>
          <w:sz w:val="32"/>
          <w:szCs w:val="32"/>
        </w:rPr>
        <w:t>2842.52减少300.38</w:t>
      </w:r>
      <w:r>
        <w:rPr>
          <w:rFonts w:hint="eastAsia" w:ascii="仿宋" w:hAnsi="仿宋" w:eastAsia="仿宋" w:cs="仿宋"/>
          <w:sz w:val="32"/>
          <w:szCs w:val="32"/>
          <w:lang w:val="zh-CN"/>
        </w:rPr>
        <w:t>万元，</w:t>
      </w:r>
      <w:r>
        <w:rPr>
          <w:rFonts w:hint="eastAsia" w:ascii="仿宋" w:hAnsi="仿宋" w:eastAsia="仿宋" w:cs="仿宋"/>
          <w:sz w:val="32"/>
          <w:szCs w:val="32"/>
        </w:rPr>
        <w:t>降低10.57</w:t>
      </w:r>
      <w:r>
        <w:rPr>
          <w:rFonts w:hint="eastAsia" w:ascii="仿宋" w:hAnsi="仿宋" w:eastAsia="仿宋" w:cs="仿宋"/>
          <w:sz w:val="32"/>
          <w:szCs w:val="32"/>
          <w:lang w:val="zh-CN"/>
        </w:rPr>
        <w:t>%。</w:t>
      </w:r>
    </w:p>
    <w:p>
      <w:pPr>
        <w:widowControl/>
        <w:spacing w:line="59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（二）结构情况。</w:t>
      </w:r>
    </w:p>
    <w:p>
      <w:pPr>
        <w:widowControl/>
        <w:ind w:firstLine="640" w:firstLineChars="200"/>
        <w:jc w:val="left"/>
        <w:rPr>
          <w:rFonts w:hint="eastAsia" w:ascii="仿宋" w:hAnsi="仿宋" w:eastAsia="仿宋" w:cs="仿宋"/>
          <w:sz w:val="32"/>
          <w:szCs w:val="32"/>
        </w:rPr>
      </w:pPr>
      <w:r>
        <w:rPr>
          <w:rFonts w:hint="eastAsia" w:ascii="仿宋" w:hAnsi="仿宋" w:eastAsia="仿宋" w:cs="仿宋"/>
          <w:sz w:val="32"/>
          <w:szCs w:val="32"/>
        </w:rPr>
        <w:t>2021年度一般公共预算财政拨款支出2542.14万元，主要用于以下方面：</w:t>
      </w:r>
      <w:r>
        <w:rPr>
          <w:rFonts w:hint="eastAsia" w:ascii="仿宋" w:hAnsi="仿宋" w:eastAsia="仿宋" w:cs="仿宋"/>
          <w:color w:val="000000"/>
          <w:kern w:val="0"/>
          <w:sz w:val="31"/>
          <w:szCs w:val="31"/>
          <w:lang w:bidi="ar"/>
        </w:rPr>
        <w:t>卫生健康支出（类）支出2297.51万元，占90.38%；灾害防治及应急管理支出（类）支出 87万元，占 3.42%</w:t>
      </w:r>
      <w:r>
        <w:rPr>
          <w:rFonts w:hint="eastAsia" w:ascii="仿宋" w:hAnsi="仿宋" w:eastAsia="仿宋" w:cs="仿宋"/>
          <w:sz w:val="32"/>
          <w:szCs w:val="32"/>
        </w:rPr>
        <w:t>。</w:t>
      </w:r>
    </w:p>
    <w:p>
      <w:pPr>
        <w:widowControl/>
        <w:numPr>
          <w:ilvl w:val="0"/>
          <w:numId w:val="2"/>
        </w:numPr>
        <w:spacing w:line="590" w:lineRule="exact"/>
        <w:ind w:firstLine="643" w:firstLineChars="200"/>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具体情况</w:t>
      </w:r>
      <w:r>
        <w:rPr>
          <w:rFonts w:hint="eastAsia" w:ascii="楷体_GB2312" w:hAnsi="楷体_GB2312" w:eastAsia="楷体_GB2312" w:cs="楷体_GB2312"/>
          <w:b/>
          <w:bCs/>
          <w:sz w:val="32"/>
          <w:szCs w:val="32"/>
          <w:lang w:eastAsia="zh-CN"/>
        </w:rPr>
        <w:t>。</w:t>
      </w:r>
    </w:p>
    <w:p>
      <w:pPr>
        <w:widowControl/>
        <w:spacing w:line="590" w:lineRule="exact"/>
        <w:ind w:firstLine="643" w:firstLineChars="200"/>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 xml:space="preserve"> </w:t>
      </w:r>
      <w:r>
        <w:rPr>
          <w:rFonts w:hint="eastAsia" w:ascii="仿宋_GB2312" w:hAnsi="仿宋_GB2312" w:eastAsia="仿宋_GB2312" w:cs="仿宋_GB2312"/>
          <w:sz w:val="32"/>
          <w:szCs w:val="32"/>
          <w:lang w:eastAsia="zh-CN"/>
        </w:rPr>
        <w:t>2021</w:t>
      </w:r>
      <w:r>
        <w:rPr>
          <w:rFonts w:hint="eastAsia" w:ascii="仿宋_GB2312" w:hAnsi="仿宋_GB2312" w:eastAsia="仿宋_GB2312" w:cs="仿宋_GB2312"/>
          <w:sz w:val="32"/>
          <w:szCs w:val="32"/>
        </w:rPr>
        <w:t>年度一般公共预算财政拨款支出年初预算为</w:t>
      </w:r>
      <w:r>
        <w:rPr>
          <w:rFonts w:hint="eastAsia" w:ascii="仿宋_GB2312" w:hAnsi="仿宋_GB2312" w:eastAsia="仿宋_GB2312" w:cs="仿宋_GB2312"/>
          <w:sz w:val="32"/>
          <w:szCs w:val="32"/>
          <w:lang w:val="en-US" w:eastAsia="zh-CN"/>
        </w:rPr>
        <w:t>2542.14</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2542.14</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%。其中：</w:t>
      </w:r>
    </w:p>
    <w:p>
      <w:pPr>
        <w:keepNext w:val="0"/>
        <w:keepLines w:val="0"/>
        <w:widowControl/>
        <w:numPr>
          <w:ilvl w:val="0"/>
          <w:numId w:val="0"/>
        </w:numPr>
        <w:suppressLineNumbers w:val="0"/>
        <w:ind w:firstLine="622" w:firstLineChars="200"/>
        <w:jc w:val="both"/>
        <w:rPr>
          <w:rFonts w:hint="eastAsia" w:ascii="仿宋" w:hAnsi="仿宋" w:eastAsia="仿宋" w:cs="仿宋"/>
          <w:color w:val="auto"/>
          <w:kern w:val="0"/>
          <w:sz w:val="31"/>
          <w:szCs w:val="31"/>
          <w:lang w:val="en-US" w:eastAsia="zh-CN" w:bidi="ar"/>
        </w:rPr>
      </w:pPr>
      <w:r>
        <w:rPr>
          <w:rFonts w:hint="eastAsia" w:ascii="仿宋" w:hAnsi="仿宋" w:eastAsia="仿宋" w:cs="仿宋"/>
          <w:b/>
          <w:color w:val="auto"/>
          <w:kern w:val="0"/>
          <w:sz w:val="31"/>
          <w:szCs w:val="31"/>
          <w:lang w:val="en-US" w:eastAsia="zh-CN" w:bidi="ar"/>
        </w:rPr>
        <w:t>1.科学技术支出（类）</w:t>
      </w:r>
    </w:p>
    <w:p>
      <w:pPr>
        <w:keepNext w:val="0"/>
        <w:keepLines w:val="0"/>
        <w:widowControl/>
        <w:numPr>
          <w:ilvl w:val="0"/>
          <w:numId w:val="0"/>
        </w:numPr>
        <w:suppressLineNumbers w:val="0"/>
        <w:ind w:firstLine="622" w:firstLineChars="200"/>
        <w:jc w:val="both"/>
        <w:rPr>
          <w:rFonts w:hint="eastAsia" w:ascii="仿宋" w:hAnsi="仿宋" w:eastAsia="仿宋" w:cs="仿宋"/>
          <w:color w:val="auto"/>
          <w:kern w:val="0"/>
          <w:sz w:val="31"/>
          <w:szCs w:val="31"/>
          <w:lang w:val="en-US" w:eastAsia="zh-CN" w:bidi="ar"/>
        </w:rPr>
      </w:pPr>
      <w:r>
        <w:rPr>
          <w:rFonts w:hint="eastAsia" w:ascii="仿宋" w:hAnsi="仿宋" w:eastAsia="仿宋" w:cs="仿宋"/>
          <w:b/>
          <w:color w:val="auto"/>
          <w:kern w:val="0"/>
          <w:sz w:val="31"/>
          <w:szCs w:val="31"/>
          <w:lang w:val="en-US" w:eastAsia="zh-CN" w:bidi="ar"/>
        </w:rPr>
        <w:t>(1)其他技术研究与开发支出。</w:t>
      </w:r>
      <w:r>
        <w:rPr>
          <w:rFonts w:hint="eastAsia" w:ascii="仿宋" w:hAnsi="仿宋" w:eastAsia="仿宋" w:cs="仿宋"/>
          <w:color w:val="auto"/>
          <w:kern w:val="0"/>
          <w:sz w:val="31"/>
          <w:szCs w:val="31"/>
          <w:lang w:val="en-US" w:eastAsia="zh-CN" w:bidi="ar"/>
        </w:rPr>
        <w:t>年初预算为0.83万元，项目支出决算为0.83万元，完成年初预算的100%。</w:t>
      </w:r>
    </w:p>
    <w:p>
      <w:pPr>
        <w:keepNext w:val="0"/>
        <w:keepLines w:val="0"/>
        <w:widowControl/>
        <w:numPr>
          <w:ilvl w:val="0"/>
          <w:numId w:val="0"/>
        </w:numPr>
        <w:suppressLineNumbers w:val="0"/>
        <w:ind w:left="0" w:leftChars="0" w:firstLine="731" w:firstLineChars="235"/>
        <w:jc w:val="both"/>
        <w:rPr>
          <w:rFonts w:hint="eastAsia" w:ascii="仿宋" w:hAnsi="仿宋" w:eastAsia="仿宋" w:cs="仿宋"/>
          <w:b/>
          <w:color w:val="auto"/>
          <w:kern w:val="0"/>
          <w:sz w:val="31"/>
          <w:szCs w:val="31"/>
          <w:lang w:val="en-US" w:eastAsia="zh-CN" w:bidi="ar"/>
        </w:rPr>
      </w:pPr>
      <w:r>
        <w:rPr>
          <w:rFonts w:hint="eastAsia" w:ascii="仿宋" w:hAnsi="仿宋" w:eastAsia="仿宋" w:cs="仿宋"/>
          <w:b/>
          <w:color w:val="auto"/>
          <w:kern w:val="0"/>
          <w:sz w:val="31"/>
          <w:szCs w:val="31"/>
          <w:lang w:val="en-US" w:eastAsia="zh-CN" w:bidi="ar"/>
        </w:rPr>
        <w:t>2.社会保障和就业支出（类）</w:t>
      </w:r>
    </w:p>
    <w:p>
      <w:pPr>
        <w:keepNext w:val="0"/>
        <w:keepLines w:val="0"/>
        <w:widowControl/>
        <w:numPr>
          <w:ilvl w:val="0"/>
          <w:numId w:val="0"/>
        </w:numPr>
        <w:suppressLineNumbers w:val="0"/>
        <w:ind w:firstLine="622" w:firstLineChars="200"/>
        <w:jc w:val="both"/>
        <w:rPr>
          <w:rFonts w:hint="eastAsia" w:ascii="仿宋" w:hAnsi="仿宋" w:eastAsia="仿宋" w:cs="仿宋"/>
          <w:b w:val="0"/>
          <w:bCs/>
          <w:color w:val="auto"/>
          <w:kern w:val="0"/>
          <w:sz w:val="31"/>
          <w:szCs w:val="31"/>
          <w:lang w:val="en-US" w:eastAsia="zh-CN" w:bidi="ar"/>
        </w:rPr>
      </w:pPr>
      <w:r>
        <w:rPr>
          <w:rFonts w:hint="eastAsia" w:ascii="仿宋" w:hAnsi="仿宋" w:eastAsia="仿宋" w:cs="仿宋"/>
          <w:b/>
          <w:color w:val="auto"/>
          <w:kern w:val="0"/>
          <w:sz w:val="31"/>
          <w:szCs w:val="31"/>
          <w:lang w:val="en-US" w:eastAsia="zh-CN" w:bidi="ar"/>
        </w:rPr>
        <w:t>（1）机关事业单位基本养老保险缴费支出。</w:t>
      </w:r>
      <w:r>
        <w:rPr>
          <w:rFonts w:hint="eastAsia" w:ascii="仿宋" w:hAnsi="仿宋" w:eastAsia="仿宋" w:cs="仿宋"/>
          <w:b w:val="0"/>
          <w:bCs/>
          <w:color w:val="auto"/>
          <w:kern w:val="0"/>
          <w:sz w:val="31"/>
          <w:szCs w:val="31"/>
          <w:lang w:val="en-US" w:eastAsia="zh-CN" w:bidi="ar"/>
        </w:rPr>
        <w:t>年初预算为155万元，基本支出决算为155万元，</w:t>
      </w:r>
      <w:r>
        <w:rPr>
          <w:rFonts w:hint="eastAsia" w:ascii="仿宋" w:hAnsi="仿宋" w:eastAsia="仿宋" w:cs="仿宋"/>
          <w:color w:val="auto"/>
          <w:kern w:val="0"/>
          <w:sz w:val="31"/>
          <w:szCs w:val="31"/>
          <w:lang w:val="en-US" w:eastAsia="zh-CN" w:bidi="ar"/>
        </w:rPr>
        <w:t>完成年初预算的100%</w:t>
      </w:r>
      <w:r>
        <w:rPr>
          <w:rFonts w:hint="eastAsia" w:ascii="仿宋" w:hAnsi="仿宋" w:eastAsia="仿宋" w:cs="仿宋"/>
          <w:b w:val="0"/>
          <w:bCs/>
          <w:color w:val="auto"/>
          <w:kern w:val="0"/>
          <w:sz w:val="31"/>
          <w:szCs w:val="31"/>
          <w:lang w:val="en-US" w:eastAsia="zh-CN" w:bidi="ar"/>
        </w:rPr>
        <w:t>。</w:t>
      </w:r>
    </w:p>
    <w:p>
      <w:pPr>
        <w:keepNext w:val="0"/>
        <w:keepLines w:val="0"/>
        <w:widowControl/>
        <w:suppressLineNumbers w:val="0"/>
        <w:ind w:firstLine="934" w:firstLineChars="300"/>
        <w:jc w:val="both"/>
        <w:rPr>
          <w:rFonts w:hint="eastAsia" w:ascii="仿宋" w:hAnsi="仿宋" w:eastAsia="仿宋" w:cs="仿宋"/>
          <w:b/>
          <w:color w:val="auto"/>
          <w:kern w:val="0"/>
          <w:sz w:val="31"/>
          <w:szCs w:val="31"/>
          <w:lang w:val="en-US" w:eastAsia="zh-CN" w:bidi="ar"/>
        </w:rPr>
      </w:pPr>
      <w:r>
        <w:rPr>
          <w:rFonts w:hint="eastAsia" w:ascii="仿宋" w:hAnsi="仿宋" w:eastAsia="仿宋" w:cs="仿宋"/>
          <w:b/>
          <w:color w:val="auto"/>
          <w:kern w:val="0"/>
          <w:sz w:val="31"/>
          <w:szCs w:val="31"/>
          <w:lang w:val="en-US" w:eastAsia="zh-CN" w:bidi="ar"/>
        </w:rPr>
        <w:t xml:space="preserve">3.卫生健康支出 </w:t>
      </w:r>
    </w:p>
    <w:p>
      <w:pPr>
        <w:keepNext w:val="0"/>
        <w:keepLines w:val="0"/>
        <w:widowControl/>
        <w:numPr>
          <w:ilvl w:val="0"/>
          <w:numId w:val="0"/>
        </w:numPr>
        <w:suppressLineNumbers w:val="0"/>
        <w:ind w:firstLine="620" w:firstLineChars="200"/>
        <w:jc w:val="both"/>
        <w:rPr>
          <w:rFonts w:hint="eastAsia" w:ascii="仿宋" w:hAnsi="仿宋" w:eastAsia="仿宋" w:cs="仿宋"/>
          <w:b w:val="0"/>
          <w:bCs/>
          <w:color w:val="auto"/>
          <w:kern w:val="0"/>
          <w:sz w:val="31"/>
          <w:szCs w:val="31"/>
          <w:lang w:val="en-US" w:eastAsia="zh-CN" w:bidi="ar"/>
        </w:rPr>
      </w:pPr>
      <w:r>
        <w:rPr>
          <w:rFonts w:hint="eastAsia" w:ascii="仿宋" w:hAnsi="仿宋" w:eastAsia="仿宋" w:cs="仿宋"/>
          <w:color w:val="auto"/>
          <w:kern w:val="0"/>
          <w:sz w:val="31"/>
          <w:szCs w:val="31"/>
          <w:lang w:val="en-US" w:eastAsia="zh-CN" w:bidi="ar"/>
        </w:rPr>
        <w:t xml:space="preserve"> </w:t>
      </w:r>
      <w:r>
        <w:rPr>
          <w:rFonts w:hint="eastAsia" w:ascii="仿宋" w:hAnsi="仿宋" w:eastAsia="仿宋" w:cs="仿宋"/>
          <w:b/>
          <w:color w:val="auto"/>
          <w:kern w:val="0"/>
          <w:sz w:val="31"/>
          <w:szCs w:val="31"/>
          <w:lang w:val="en-US" w:eastAsia="zh-CN" w:bidi="ar"/>
        </w:rPr>
        <w:t>（1）一般行政管理事务。</w:t>
      </w:r>
      <w:r>
        <w:rPr>
          <w:rFonts w:hint="eastAsia" w:ascii="仿宋" w:hAnsi="仿宋" w:eastAsia="仿宋" w:cs="仿宋"/>
          <w:b w:val="0"/>
          <w:bCs/>
          <w:color w:val="auto"/>
          <w:kern w:val="0"/>
          <w:sz w:val="31"/>
          <w:szCs w:val="31"/>
          <w:lang w:val="en-US" w:eastAsia="zh-CN" w:bidi="ar"/>
        </w:rPr>
        <w:t>年初预算为5万元，项目支出决算为5万元，</w:t>
      </w:r>
      <w:r>
        <w:rPr>
          <w:rFonts w:hint="eastAsia" w:ascii="仿宋" w:hAnsi="仿宋" w:eastAsia="仿宋" w:cs="仿宋"/>
          <w:color w:val="auto"/>
          <w:kern w:val="0"/>
          <w:sz w:val="31"/>
          <w:szCs w:val="31"/>
          <w:lang w:val="en-US" w:eastAsia="zh-CN" w:bidi="ar"/>
        </w:rPr>
        <w:t>完成年初预算的100%</w:t>
      </w:r>
      <w:r>
        <w:rPr>
          <w:rFonts w:hint="eastAsia" w:ascii="仿宋" w:hAnsi="仿宋" w:eastAsia="仿宋" w:cs="仿宋"/>
          <w:b w:val="0"/>
          <w:bCs/>
          <w:color w:val="auto"/>
          <w:kern w:val="0"/>
          <w:sz w:val="31"/>
          <w:szCs w:val="31"/>
          <w:lang w:val="en-US" w:eastAsia="zh-CN" w:bidi="ar"/>
        </w:rPr>
        <w:t>。</w:t>
      </w:r>
    </w:p>
    <w:p>
      <w:pPr>
        <w:keepNext w:val="0"/>
        <w:keepLines w:val="0"/>
        <w:widowControl/>
        <w:numPr>
          <w:ilvl w:val="0"/>
          <w:numId w:val="0"/>
        </w:numPr>
        <w:suppressLineNumbers w:val="0"/>
        <w:ind w:firstLine="622" w:firstLineChars="200"/>
        <w:jc w:val="both"/>
        <w:rPr>
          <w:rFonts w:hint="eastAsia" w:ascii="仿宋" w:hAnsi="仿宋" w:eastAsia="仿宋" w:cs="仿宋"/>
          <w:b w:val="0"/>
          <w:bCs/>
          <w:color w:val="auto"/>
          <w:kern w:val="0"/>
          <w:sz w:val="31"/>
          <w:szCs w:val="31"/>
          <w:lang w:val="en-US" w:eastAsia="zh-CN" w:bidi="ar"/>
        </w:rPr>
      </w:pPr>
      <w:r>
        <w:rPr>
          <w:rFonts w:hint="eastAsia" w:ascii="仿宋" w:hAnsi="仿宋" w:eastAsia="仿宋" w:cs="仿宋"/>
          <w:b/>
          <w:color w:val="auto"/>
          <w:kern w:val="0"/>
          <w:sz w:val="31"/>
          <w:szCs w:val="31"/>
          <w:lang w:val="en-US" w:eastAsia="zh-CN" w:bidi="ar"/>
        </w:rPr>
        <w:t>（2）处理医疗欠款。</w:t>
      </w:r>
      <w:r>
        <w:rPr>
          <w:rFonts w:hint="eastAsia" w:ascii="仿宋" w:hAnsi="仿宋" w:eastAsia="仿宋" w:cs="仿宋"/>
          <w:b w:val="0"/>
          <w:bCs/>
          <w:color w:val="auto"/>
          <w:kern w:val="0"/>
          <w:sz w:val="31"/>
          <w:szCs w:val="31"/>
          <w:lang w:val="en-US" w:eastAsia="zh-CN" w:bidi="ar"/>
        </w:rPr>
        <w:t>年初预算为1万元，项目支出决算为1万元，</w:t>
      </w:r>
      <w:r>
        <w:rPr>
          <w:rFonts w:hint="eastAsia" w:ascii="仿宋" w:hAnsi="仿宋" w:eastAsia="仿宋" w:cs="仿宋"/>
          <w:color w:val="auto"/>
          <w:kern w:val="0"/>
          <w:sz w:val="31"/>
          <w:szCs w:val="31"/>
          <w:lang w:val="en-US" w:eastAsia="zh-CN" w:bidi="ar"/>
        </w:rPr>
        <w:t>完成年初预算的100%</w:t>
      </w:r>
      <w:r>
        <w:rPr>
          <w:rFonts w:hint="eastAsia" w:ascii="仿宋" w:hAnsi="仿宋" w:eastAsia="仿宋" w:cs="仿宋"/>
          <w:b w:val="0"/>
          <w:bCs/>
          <w:color w:val="auto"/>
          <w:kern w:val="0"/>
          <w:sz w:val="31"/>
          <w:szCs w:val="31"/>
          <w:lang w:val="en-US" w:eastAsia="zh-CN" w:bidi="ar"/>
        </w:rPr>
        <w:t>。</w:t>
      </w:r>
    </w:p>
    <w:p>
      <w:pPr>
        <w:keepNext w:val="0"/>
        <w:keepLines w:val="0"/>
        <w:widowControl/>
        <w:numPr>
          <w:ilvl w:val="0"/>
          <w:numId w:val="0"/>
        </w:numPr>
        <w:suppressLineNumbers w:val="0"/>
        <w:ind w:firstLine="622" w:firstLineChars="200"/>
        <w:jc w:val="both"/>
        <w:rPr>
          <w:rFonts w:hint="eastAsia" w:ascii="仿宋" w:hAnsi="仿宋" w:eastAsia="仿宋" w:cs="仿宋"/>
          <w:b w:val="0"/>
          <w:bCs/>
          <w:color w:val="auto"/>
          <w:kern w:val="0"/>
          <w:sz w:val="31"/>
          <w:szCs w:val="31"/>
          <w:lang w:val="en-US" w:eastAsia="zh-CN" w:bidi="ar"/>
        </w:rPr>
      </w:pPr>
      <w:r>
        <w:rPr>
          <w:rFonts w:hint="eastAsia" w:ascii="仿宋" w:hAnsi="仿宋" w:eastAsia="仿宋" w:cs="仿宋"/>
          <w:b/>
          <w:color w:val="auto"/>
          <w:kern w:val="0"/>
          <w:sz w:val="31"/>
          <w:szCs w:val="31"/>
          <w:lang w:val="en-US" w:eastAsia="zh-CN" w:bidi="ar"/>
        </w:rPr>
        <w:t>（3）其他公立医院支出。</w:t>
      </w:r>
      <w:r>
        <w:rPr>
          <w:rFonts w:hint="eastAsia" w:ascii="仿宋" w:hAnsi="仿宋" w:eastAsia="仿宋" w:cs="仿宋"/>
          <w:b w:val="0"/>
          <w:bCs/>
          <w:color w:val="auto"/>
          <w:kern w:val="0"/>
          <w:sz w:val="31"/>
          <w:szCs w:val="31"/>
          <w:lang w:val="en-US" w:eastAsia="zh-CN" w:bidi="ar"/>
        </w:rPr>
        <w:t>年初预算为326万元，基本支出决算250万元，项目支出决算为76万元，</w:t>
      </w:r>
      <w:r>
        <w:rPr>
          <w:rFonts w:hint="eastAsia" w:ascii="仿宋" w:hAnsi="仿宋" w:eastAsia="仿宋" w:cs="仿宋"/>
          <w:color w:val="auto"/>
          <w:kern w:val="0"/>
          <w:sz w:val="31"/>
          <w:szCs w:val="31"/>
          <w:lang w:val="en-US" w:eastAsia="zh-CN" w:bidi="ar"/>
        </w:rPr>
        <w:t>完成年初预算的100%</w:t>
      </w:r>
      <w:r>
        <w:rPr>
          <w:rFonts w:hint="eastAsia" w:ascii="仿宋" w:hAnsi="仿宋" w:eastAsia="仿宋" w:cs="仿宋"/>
          <w:b w:val="0"/>
          <w:bCs/>
          <w:color w:val="auto"/>
          <w:kern w:val="0"/>
          <w:sz w:val="31"/>
          <w:szCs w:val="31"/>
          <w:lang w:val="en-US" w:eastAsia="zh-CN" w:bidi="ar"/>
        </w:rPr>
        <w:t>。</w:t>
      </w:r>
    </w:p>
    <w:p>
      <w:pPr>
        <w:keepNext w:val="0"/>
        <w:keepLines w:val="0"/>
        <w:widowControl/>
        <w:numPr>
          <w:ilvl w:val="0"/>
          <w:numId w:val="0"/>
        </w:numPr>
        <w:suppressLineNumbers w:val="0"/>
        <w:ind w:firstLine="622" w:firstLineChars="200"/>
        <w:jc w:val="both"/>
        <w:rPr>
          <w:rFonts w:hint="eastAsia" w:ascii="仿宋" w:hAnsi="仿宋" w:eastAsia="仿宋" w:cs="仿宋"/>
          <w:b w:val="0"/>
          <w:bCs/>
          <w:color w:val="auto"/>
          <w:kern w:val="0"/>
          <w:sz w:val="31"/>
          <w:szCs w:val="31"/>
          <w:lang w:val="en-US" w:eastAsia="zh-CN" w:bidi="ar"/>
        </w:rPr>
      </w:pPr>
      <w:r>
        <w:rPr>
          <w:rFonts w:hint="eastAsia" w:ascii="仿宋" w:hAnsi="仿宋" w:eastAsia="仿宋" w:cs="仿宋"/>
          <w:b/>
          <w:color w:val="auto"/>
          <w:kern w:val="0"/>
          <w:sz w:val="31"/>
          <w:szCs w:val="31"/>
          <w:lang w:val="en-US" w:eastAsia="zh-CN" w:bidi="ar"/>
        </w:rPr>
        <w:t>（4）其他基层医疗卫生机构支出。</w:t>
      </w:r>
      <w:r>
        <w:rPr>
          <w:rFonts w:hint="eastAsia" w:ascii="仿宋" w:hAnsi="仿宋" w:eastAsia="仿宋" w:cs="仿宋"/>
          <w:b w:val="0"/>
          <w:bCs/>
          <w:color w:val="auto"/>
          <w:kern w:val="0"/>
          <w:sz w:val="31"/>
          <w:szCs w:val="31"/>
          <w:lang w:val="en-US" w:eastAsia="zh-CN" w:bidi="ar"/>
        </w:rPr>
        <w:t>年初预算为358.87万元，项目支出决算为358.87万元，</w:t>
      </w:r>
      <w:r>
        <w:rPr>
          <w:rFonts w:hint="eastAsia" w:ascii="仿宋" w:hAnsi="仿宋" w:eastAsia="仿宋" w:cs="仿宋"/>
          <w:color w:val="auto"/>
          <w:kern w:val="0"/>
          <w:sz w:val="31"/>
          <w:szCs w:val="31"/>
          <w:lang w:val="en-US" w:eastAsia="zh-CN" w:bidi="ar"/>
        </w:rPr>
        <w:t>完成年初预算的100%</w:t>
      </w:r>
      <w:r>
        <w:rPr>
          <w:rFonts w:hint="eastAsia" w:ascii="仿宋" w:hAnsi="仿宋" w:eastAsia="仿宋" w:cs="仿宋"/>
          <w:b w:val="0"/>
          <w:bCs/>
          <w:color w:val="auto"/>
          <w:kern w:val="0"/>
          <w:sz w:val="31"/>
          <w:szCs w:val="31"/>
          <w:lang w:val="en-US" w:eastAsia="zh-CN" w:bidi="ar"/>
        </w:rPr>
        <w:t>。</w:t>
      </w:r>
    </w:p>
    <w:p>
      <w:pPr>
        <w:widowControl/>
        <w:spacing w:line="590" w:lineRule="exact"/>
        <w:ind w:firstLine="640" w:firstLineChars="200"/>
        <w:outlineLvl w:val="1"/>
        <w:rPr>
          <w:rFonts w:ascii="黑体" w:hAnsi="黑体" w:eastAsia="黑体" w:cs="黑体"/>
          <w:sz w:val="32"/>
          <w:szCs w:val="32"/>
        </w:rPr>
      </w:pPr>
      <w:r>
        <w:rPr>
          <w:rFonts w:hint="eastAsia" w:ascii="黑体" w:hAnsi="黑体" w:eastAsia="黑体" w:cs="黑体"/>
          <w:sz w:val="32"/>
          <w:szCs w:val="32"/>
        </w:rPr>
        <w:t>六、一般公共预算财政拨款基本支出决算情况说明</w:t>
      </w:r>
    </w:p>
    <w:p>
      <w:pPr>
        <w:ind w:firstLine="640"/>
        <w:jc w:val="left"/>
        <w:rPr>
          <w:rFonts w:ascii="仿宋" w:hAnsi="仿宋" w:eastAsia="仿宋" w:cs="仿宋"/>
          <w:sz w:val="36"/>
          <w:szCs w:val="36"/>
          <w:lang w:val="zh-CN"/>
        </w:rPr>
      </w:pPr>
      <w:r>
        <w:rPr>
          <w:rFonts w:hint="eastAsia" w:ascii="仿宋" w:hAnsi="仿宋" w:eastAsia="仿宋" w:cs="仿宋"/>
          <w:sz w:val="32"/>
          <w:szCs w:val="32"/>
        </w:rPr>
        <w:t>2</w:t>
      </w:r>
      <w:r>
        <w:rPr>
          <w:rFonts w:hint="eastAsia" w:ascii="仿宋" w:hAnsi="仿宋" w:eastAsia="仿宋" w:cs="仿宋"/>
          <w:sz w:val="32"/>
          <w:szCs w:val="32"/>
          <w:lang w:val="zh-CN"/>
        </w:rPr>
        <w:t>02</w:t>
      </w:r>
      <w:r>
        <w:rPr>
          <w:rFonts w:hint="eastAsia" w:ascii="仿宋" w:hAnsi="仿宋" w:eastAsia="仿宋" w:cs="仿宋"/>
          <w:sz w:val="32"/>
          <w:szCs w:val="32"/>
        </w:rPr>
        <w:t>1</w:t>
      </w:r>
      <w:r>
        <w:rPr>
          <w:rFonts w:hint="eastAsia" w:ascii="仿宋" w:hAnsi="仿宋" w:eastAsia="仿宋" w:cs="仿宋"/>
          <w:sz w:val="32"/>
          <w:szCs w:val="32"/>
          <w:lang w:val="zh-CN"/>
        </w:rPr>
        <w:t>年度一般公共预算财政拨款基本支出</w:t>
      </w:r>
      <w:r>
        <w:rPr>
          <w:rFonts w:hint="eastAsia" w:ascii="仿宋" w:hAnsi="仿宋" w:eastAsia="仿宋" w:cs="仿宋"/>
          <w:sz w:val="32"/>
          <w:szCs w:val="32"/>
        </w:rPr>
        <w:t>1739.14</w:t>
      </w:r>
      <w:r>
        <w:rPr>
          <w:rFonts w:hint="eastAsia" w:ascii="仿宋" w:hAnsi="仿宋" w:eastAsia="仿宋" w:cs="仿宋"/>
          <w:sz w:val="32"/>
          <w:szCs w:val="32"/>
          <w:lang w:val="zh-CN"/>
        </w:rPr>
        <w:t>万元。其中：人员经费</w:t>
      </w:r>
      <w:r>
        <w:rPr>
          <w:rFonts w:hint="eastAsia" w:ascii="仿宋" w:hAnsi="仿宋" w:eastAsia="仿宋" w:cs="仿宋"/>
          <w:sz w:val="32"/>
          <w:szCs w:val="32"/>
        </w:rPr>
        <w:t>1489.14</w:t>
      </w:r>
      <w:r>
        <w:rPr>
          <w:rFonts w:hint="eastAsia" w:ascii="仿宋" w:hAnsi="仿宋" w:eastAsia="仿宋" w:cs="仿宋"/>
          <w:sz w:val="32"/>
          <w:szCs w:val="32"/>
          <w:lang w:val="zh-CN"/>
        </w:rPr>
        <w:t>万元，主要包括：基本工资、津贴补贴、伙食补助费、绩效工资、机关事业单位基本养老保险缴费、职业年金缴费、其他社会保障缴费、其他工资福利支出、离休费、退休费、抚恤金、生活补助、医疗费、离休费、退休费、奖励金、住房公积金、采暖补贴、物业服务补贴、其他对个人和家庭的补助支出；公用经费</w:t>
      </w:r>
      <w:r>
        <w:rPr>
          <w:rFonts w:hint="eastAsia" w:ascii="仿宋" w:hAnsi="仿宋" w:eastAsia="仿宋" w:cs="仿宋"/>
          <w:sz w:val="32"/>
          <w:szCs w:val="32"/>
        </w:rPr>
        <w:t>250</w:t>
      </w:r>
      <w:r>
        <w:rPr>
          <w:rFonts w:hint="eastAsia" w:ascii="仿宋" w:hAnsi="仿宋" w:eastAsia="仿宋" w:cs="仿宋"/>
          <w:sz w:val="32"/>
          <w:szCs w:val="32"/>
          <w:lang w:val="zh-CN"/>
        </w:rPr>
        <w:t>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信息网</w:t>
      </w:r>
      <w:r>
        <w:rPr>
          <w:rFonts w:hint="eastAsia" w:ascii="仿宋" w:hAnsi="仿宋" w:eastAsia="仿宋" w:cs="仿宋"/>
          <w:sz w:val="36"/>
          <w:szCs w:val="36"/>
          <w:lang w:val="zh-CN"/>
        </w:rPr>
        <w:t>络及软件购置更新、其他资本性支出。</w:t>
      </w:r>
    </w:p>
    <w:p>
      <w:pPr>
        <w:widowControl/>
        <w:spacing w:line="590" w:lineRule="exact"/>
        <w:ind w:firstLine="640" w:firstLineChars="200"/>
        <w:outlineLvl w:val="1"/>
        <w:rPr>
          <w:rFonts w:ascii="黑体" w:hAnsi="黑体" w:eastAsia="黑体" w:cs="黑体"/>
          <w:sz w:val="32"/>
          <w:szCs w:val="32"/>
        </w:rPr>
      </w:pPr>
      <w:r>
        <w:rPr>
          <w:rFonts w:hint="eastAsia" w:ascii="黑体" w:hAnsi="黑体" w:eastAsia="黑体" w:cs="黑体"/>
          <w:sz w:val="32"/>
          <w:szCs w:val="32"/>
        </w:rPr>
        <w:t>七、一般公共预算财政拨款“三公”经费支出决算情况说明</w:t>
      </w:r>
    </w:p>
    <w:p>
      <w:pPr>
        <w:ind w:firstLine="640"/>
        <w:jc w:val="left"/>
        <w:rPr>
          <w:rFonts w:hint="eastAsia" w:ascii="仿宋_GB2312" w:hAnsi="仿宋_GB2312" w:eastAsia="仿宋_GB2312" w:cs="仿宋_GB2312"/>
          <w:sz w:val="32"/>
          <w:szCs w:val="32"/>
        </w:rPr>
      </w:pPr>
      <w:r>
        <w:rPr>
          <w:rFonts w:hint="eastAsia" w:ascii="仿宋" w:hAnsi="仿宋" w:eastAsia="仿宋" w:cs="仿宋"/>
          <w:sz w:val="32"/>
          <w:szCs w:val="32"/>
          <w:lang w:val="zh-CN"/>
        </w:rPr>
        <w:t>202</w:t>
      </w:r>
      <w:r>
        <w:rPr>
          <w:rFonts w:hint="eastAsia" w:ascii="仿宋" w:hAnsi="仿宋" w:eastAsia="仿宋" w:cs="仿宋"/>
          <w:sz w:val="32"/>
          <w:szCs w:val="32"/>
        </w:rPr>
        <w:t>1</w:t>
      </w:r>
      <w:r>
        <w:rPr>
          <w:rFonts w:hint="eastAsia" w:ascii="仿宋" w:hAnsi="仿宋" w:eastAsia="仿宋" w:cs="仿宋"/>
          <w:sz w:val="32"/>
          <w:szCs w:val="32"/>
          <w:lang w:val="zh-CN"/>
        </w:rPr>
        <w:t>年度我院无使用一般公共预算财政拨款安排的“三公”经费支出。</w:t>
      </w:r>
      <w:r>
        <w:rPr>
          <w:rFonts w:hint="eastAsia" w:ascii="仿宋_GB2312" w:hAnsi="仿宋_GB2312" w:eastAsia="仿宋_GB2312" w:cs="仿宋_GB2312"/>
          <w:sz w:val="32"/>
          <w:szCs w:val="32"/>
          <w:lang w:eastAsia="zh-CN"/>
        </w:rPr>
        <w:t>2021</w:t>
      </w:r>
      <w:r>
        <w:rPr>
          <w:rFonts w:hint="eastAsia" w:ascii="仿宋_GB2312" w:hAnsi="仿宋_GB2312" w:eastAsia="仿宋_GB2312" w:cs="仿宋_GB2312"/>
          <w:sz w:val="32"/>
          <w:szCs w:val="32"/>
        </w:rPr>
        <w:t>年度“三公”经费财政拨款支出预算为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pPr>
        <w:widowControl/>
        <w:spacing w:line="590" w:lineRule="exact"/>
        <w:ind w:firstLine="643"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（一）“三公”经费财政拨款支出决算总体情况说明。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2021</w:t>
      </w:r>
      <w:r>
        <w:rPr>
          <w:rFonts w:hint="eastAsia" w:ascii="仿宋_GB2312" w:hAnsi="仿宋_GB2312" w:eastAsia="仿宋_GB2312" w:cs="仿宋_GB2312"/>
          <w:sz w:val="32"/>
          <w:szCs w:val="32"/>
        </w:rPr>
        <w:t>年度“三公”经费财政拨款支出预算为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pPr>
        <w:widowControl/>
        <w:spacing w:line="590" w:lineRule="exact"/>
        <w:ind w:firstLine="643" w:firstLineChars="200"/>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（二）“三公”经费财政拨款支出决算具体情况说明。</w:t>
      </w:r>
    </w:p>
    <w:p>
      <w:pPr>
        <w:widowControl/>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2021</w:t>
      </w:r>
      <w:r>
        <w:rPr>
          <w:rFonts w:hint="eastAsia" w:ascii="仿宋_GB2312" w:hAnsi="仿宋_GB2312" w:eastAsia="仿宋_GB2312" w:cs="仿宋_GB2312"/>
          <w:sz w:val="32"/>
          <w:szCs w:val="32"/>
        </w:rPr>
        <w:t>年度“三公”经费财政拨款支出决算中，因公出国（境）费支出决算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万元；公务用车购置及运行费支出决算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%；公务接待费支出决算</w:t>
      </w:r>
      <w:r>
        <w:rPr>
          <w:rFonts w:hint="eastAsia" w:ascii="仿宋_GB2312" w:hAnsi="仿宋_GB2312" w:eastAsia="仿宋_GB2312" w:cs="仿宋_GB2312"/>
          <w:sz w:val="32"/>
          <w:szCs w:val="32"/>
          <w:lang w:val="en-US" w:eastAsia="zh-CN"/>
        </w:rPr>
        <w:t>0万</w:t>
      </w:r>
      <w:r>
        <w:rPr>
          <w:rFonts w:hint="eastAsia" w:ascii="仿宋_GB2312" w:hAnsi="仿宋_GB2312" w:eastAsia="仿宋_GB2312" w:cs="仿宋_GB2312"/>
          <w:sz w:val="32"/>
          <w:szCs w:val="32"/>
        </w:rPr>
        <w:t>元，完成预算的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%。具体情况如下：</w:t>
      </w:r>
    </w:p>
    <w:p>
      <w:pPr>
        <w:widowControl/>
        <w:spacing w:line="590" w:lineRule="exact"/>
        <w:ind w:firstLine="643" w:firstLineChars="200"/>
        <w:rPr>
          <w:rFonts w:hint="eastAsia" w:ascii="仿宋_GB2312" w:hAnsi="仿宋_GB2312" w:eastAsia="仿宋_GB2312" w:cs="仿宋_GB2312"/>
          <w:color w:val="C00000"/>
          <w:sz w:val="32"/>
          <w:szCs w:val="32"/>
        </w:rPr>
      </w:pPr>
      <w:r>
        <w:rPr>
          <w:rFonts w:hint="eastAsia" w:ascii="仿宋_GB2312" w:hAnsi="仿宋_GB2312" w:eastAsia="仿宋_GB2312" w:cs="仿宋_GB2312"/>
          <w:b/>
          <w:bCs/>
          <w:color w:val="auto"/>
          <w:sz w:val="32"/>
          <w:szCs w:val="32"/>
        </w:rPr>
        <w:t>1．因公出国（境）费</w:t>
      </w: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w:t>
      </w:r>
      <w:r>
        <w:rPr>
          <w:rFonts w:ascii="仿宋_GB2312" w:hAnsi="宋体" w:eastAsia="仿宋_GB2312" w:cs="仿宋_GB2312"/>
          <w:i w:val="0"/>
          <w:iCs w:val="0"/>
          <w:caps w:val="0"/>
          <w:color w:val="404133"/>
          <w:spacing w:val="0"/>
          <w:sz w:val="31"/>
          <w:szCs w:val="31"/>
          <w:shd w:val="clear" w:color="auto" w:fill="FFFFFF"/>
        </w:rPr>
        <w:t>全年因公出国（境）团组0个，累计0人次。</w:t>
      </w:r>
    </w:p>
    <w:p>
      <w:pPr>
        <w:widowControl/>
        <w:spacing w:line="590" w:lineRule="exact"/>
        <w:ind w:firstLine="643" w:firstLineChars="200"/>
        <w:rPr>
          <w:rFonts w:hint="eastAsia" w:ascii="仿宋" w:hAnsi="仿宋" w:eastAsia="仿宋_GB2312" w:cs="仿宋"/>
          <w:i w:val="0"/>
          <w:iCs w:val="0"/>
          <w:caps w:val="0"/>
          <w:color w:val="000000"/>
          <w:spacing w:val="0"/>
          <w:sz w:val="31"/>
          <w:szCs w:val="31"/>
          <w:shd w:val="clear" w:color="auto" w:fill="FFFFFF"/>
          <w:lang w:eastAsia="zh-CN"/>
        </w:rPr>
      </w:pPr>
      <w:r>
        <w:rPr>
          <w:rFonts w:hint="eastAsia" w:ascii="仿宋_GB2312" w:hAnsi="仿宋_GB2312" w:eastAsia="仿宋_GB2312" w:cs="仿宋_GB2312"/>
          <w:b/>
          <w:bCs/>
          <w:sz w:val="32"/>
          <w:szCs w:val="32"/>
        </w:rPr>
        <w:t>2．公务用车购置及运行费</w:t>
      </w:r>
      <w:r>
        <w:rPr>
          <w:rFonts w:hint="eastAsia" w:ascii="仿宋_GB2312" w:hAnsi="仿宋_GB2312" w:eastAsia="仿宋_GB2312" w:cs="仿宋_GB2312"/>
          <w:sz w:val="32"/>
          <w:szCs w:val="32"/>
        </w:rPr>
        <w:t>年初预算为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pPr>
        <w:widowControl/>
        <w:numPr>
          <w:ilvl w:val="0"/>
          <w:numId w:val="3"/>
        </w:numPr>
        <w:spacing w:line="590" w:lineRule="exact"/>
        <w:ind w:firstLine="643" w:firstLineChars="200"/>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b/>
          <w:bCs/>
          <w:color w:val="auto"/>
          <w:sz w:val="32"/>
          <w:szCs w:val="32"/>
        </w:rPr>
        <w:t>公务接待费</w:t>
      </w:r>
      <w:r>
        <w:rPr>
          <w:rFonts w:hint="eastAsia" w:ascii="仿宋_GB2312" w:hAnsi="仿宋_GB2312" w:eastAsia="仿宋_GB2312" w:cs="仿宋_GB2312"/>
          <w:color w:val="auto"/>
          <w:sz w:val="32"/>
          <w:szCs w:val="32"/>
        </w:rPr>
        <w:t>年初预算为</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万元，支出决算为</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万元，完成年初预算的</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w:t>
      </w:r>
    </w:p>
    <w:p>
      <w:pPr>
        <w:widowControl/>
        <w:numPr>
          <w:ilvl w:val="0"/>
          <w:numId w:val="0"/>
        </w:numPr>
        <w:spacing w:line="59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其中：</w:t>
      </w:r>
    </w:p>
    <w:p>
      <w:pPr>
        <w:widowControl/>
        <w:numPr>
          <w:ilvl w:val="0"/>
          <w:numId w:val="0"/>
        </w:numPr>
        <w:spacing w:line="59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外宾接待支出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2021</w:t>
      </w:r>
      <w:r>
        <w:rPr>
          <w:rFonts w:hint="eastAsia" w:ascii="仿宋_GB2312" w:hAnsi="仿宋_GB2312" w:eastAsia="仿宋_GB2312" w:cs="仿宋_GB2312"/>
          <w:sz w:val="32"/>
          <w:szCs w:val="32"/>
        </w:rPr>
        <w:t>年共接待国（境）外来访团组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个、来访外宾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w:t>
      </w:r>
    </w:p>
    <w:p>
      <w:pPr>
        <w:widowControl/>
        <w:numPr>
          <w:ilvl w:val="0"/>
          <w:numId w:val="0"/>
        </w:numPr>
        <w:spacing w:line="590" w:lineRule="exact"/>
        <w:ind w:firstLine="643"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color w:val="auto"/>
          <w:sz w:val="32"/>
          <w:szCs w:val="32"/>
        </w:rPr>
        <w:t>其他国内公务接待</w:t>
      </w:r>
      <w:r>
        <w:rPr>
          <w:rFonts w:hint="eastAsia" w:ascii="仿宋_GB2312" w:hAnsi="仿宋_GB2312" w:eastAsia="仿宋_GB2312" w:cs="仿宋_GB2312"/>
          <w:b w:val="0"/>
          <w:bCs w:val="0"/>
          <w:color w:val="auto"/>
          <w:sz w:val="32"/>
          <w:szCs w:val="32"/>
        </w:rPr>
        <w:t>支出</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万元。</w:t>
      </w:r>
    </w:p>
    <w:p>
      <w:pPr>
        <w:ind w:firstLine="640"/>
        <w:jc w:val="left"/>
        <w:rPr>
          <w:rFonts w:hint="eastAsia" w:ascii="仿宋_GB2312" w:hAnsi="仿宋_GB2312" w:eastAsia="仿宋_GB2312" w:cs="仿宋_GB2312"/>
          <w:sz w:val="32"/>
          <w:szCs w:val="32"/>
        </w:rPr>
      </w:pPr>
    </w:p>
    <w:p>
      <w:pPr>
        <w:ind w:firstLine="640"/>
        <w:jc w:val="left"/>
        <w:rPr>
          <w:rFonts w:ascii="黑体" w:hAnsi="黑体" w:eastAsia="黑体" w:cs="黑体"/>
          <w:sz w:val="32"/>
          <w:szCs w:val="32"/>
        </w:rPr>
      </w:pPr>
      <w:r>
        <w:rPr>
          <w:rFonts w:hint="eastAsia" w:ascii="黑体" w:hAnsi="黑体" w:eastAsia="黑体" w:cs="黑体"/>
          <w:sz w:val="32"/>
          <w:szCs w:val="32"/>
        </w:rPr>
        <w:t>八、预算绩效情况说明</w:t>
      </w:r>
    </w:p>
    <w:p>
      <w:pPr>
        <w:pStyle w:val="4"/>
        <w:widowControl/>
        <w:wordWrap w:val="0"/>
        <w:spacing w:beforeAutospacing="0" w:afterAutospacing="0" w:line="360" w:lineRule="auto"/>
        <w:ind w:firstLine="42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（一）绩效管理工作开展情况</w:t>
      </w:r>
    </w:p>
    <w:p>
      <w:pPr>
        <w:pStyle w:val="4"/>
        <w:widowControl/>
        <w:wordWrap w:val="0"/>
        <w:spacing w:beforeAutospacing="0" w:afterAutospacing="0" w:line="360" w:lineRule="auto"/>
        <w:ind w:firstLine="640" w:firstLineChars="200"/>
        <w:rPr>
          <w:rFonts w:ascii="仿宋_GB2312" w:hAnsi="仿宋_GB2312" w:eastAsia="仿宋_GB2312" w:cs="仿宋_GB2312"/>
          <w:color w:val="000000"/>
          <w:sz w:val="32"/>
          <w:szCs w:val="32"/>
        </w:rPr>
      </w:pPr>
      <w:r>
        <w:rPr>
          <w:rFonts w:hint="eastAsia" w:ascii="仿宋" w:hAnsi="仿宋" w:eastAsia="仿宋" w:cs="仿宋"/>
          <w:color w:val="000000"/>
          <w:sz w:val="32"/>
          <w:szCs w:val="32"/>
          <w:lang w:bidi="ar"/>
        </w:rPr>
        <w:t>2021年度，我单位</w:t>
      </w:r>
      <w:r>
        <w:rPr>
          <w:rFonts w:ascii="仿宋" w:hAnsi="仿宋" w:eastAsia="仿宋" w:cs="仿宋"/>
          <w:color w:val="000000"/>
          <w:sz w:val="32"/>
          <w:szCs w:val="32"/>
          <w:lang w:bidi="ar"/>
        </w:rPr>
        <w:t>按照财政部门</w:t>
      </w:r>
      <w:r>
        <w:rPr>
          <w:rFonts w:hint="eastAsia" w:ascii="仿宋" w:hAnsi="仿宋" w:eastAsia="仿宋" w:cs="仿宋"/>
          <w:color w:val="000000"/>
          <w:sz w:val="32"/>
          <w:szCs w:val="32"/>
          <w:lang w:bidi="ar"/>
        </w:rPr>
        <w:t>对绩效管理工作的要求，对</w:t>
      </w:r>
      <w:r>
        <w:rPr>
          <w:rFonts w:hint="eastAsia" w:ascii="仿宋_GB2312" w:hAnsi="仿宋_GB2312" w:eastAsia="仿宋_GB2312" w:cs="仿宋_GB2312"/>
          <w:color w:val="000000"/>
          <w:sz w:val="32"/>
          <w:szCs w:val="32"/>
        </w:rPr>
        <w:t>所有财政项目设立了绩效目标和绩效考核指标，并对所有财政资金项目进行绩效评价，使财政资金充分发挥了使用效益。</w:t>
      </w:r>
    </w:p>
    <w:p>
      <w:pPr>
        <w:pStyle w:val="4"/>
        <w:widowControl/>
        <w:wordWrap w:val="0"/>
        <w:spacing w:beforeAutospacing="0" w:afterAutospacing="0" w:line="360" w:lineRule="auto"/>
        <w:ind w:firstLine="42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（二）项目绩效自评结果</w:t>
      </w:r>
    </w:p>
    <w:p>
      <w:pPr>
        <w:pStyle w:val="4"/>
        <w:widowControl/>
        <w:wordWrap w:val="0"/>
        <w:spacing w:beforeAutospacing="0" w:afterAutospacing="0" w:line="360" w:lineRule="auto"/>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2021年度我院纳入预算的专项资金通过绩效指标的考核，实现了年初既定的绩效目标。</w:t>
      </w:r>
    </w:p>
    <w:p>
      <w:pPr>
        <w:widowControl/>
        <w:spacing w:line="590" w:lineRule="exact"/>
        <w:ind w:firstLine="640" w:firstLineChars="200"/>
        <w:outlineLvl w:val="1"/>
        <w:rPr>
          <w:rFonts w:ascii="黑体" w:hAnsi="黑体" w:eastAsia="黑体" w:cs="黑体"/>
          <w:sz w:val="32"/>
          <w:szCs w:val="32"/>
        </w:rPr>
      </w:pPr>
      <w:r>
        <w:rPr>
          <w:rFonts w:hint="eastAsia" w:ascii="黑体" w:hAnsi="黑体" w:eastAsia="黑体" w:cs="黑体"/>
          <w:sz w:val="32"/>
          <w:szCs w:val="32"/>
        </w:rPr>
        <w:t>九、政府性基金预算财政拨款支出决算情况说明</w:t>
      </w:r>
    </w:p>
    <w:p>
      <w:pPr>
        <w:widowControl/>
        <w:spacing w:line="590" w:lineRule="exact"/>
        <w:ind w:firstLine="640" w:firstLineChars="200"/>
        <w:outlineLvl w:val="1"/>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2021年度</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没有政府性基金收入，也没有使用政府性基金安排的支出</w:t>
      </w:r>
      <w:r>
        <w:rPr>
          <w:rFonts w:hint="eastAsia" w:ascii="仿宋_GB2312" w:hAnsi="仿宋_GB2312" w:eastAsia="仿宋_GB2312" w:cs="仿宋_GB2312"/>
          <w:sz w:val="32"/>
          <w:szCs w:val="32"/>
          <w:lang w:eastAsia="zh-CN"/>
        </w:rPr>
        <w:t>。</w:t>
      </w:r>
    </w:p>
    <w:p>
      <w:pPr>
        <w:widowControl/>
        <w:spacing w:line="590" w:lineRule="exact"/>
        <w:ind w:firstLine="640" w:firstLineChars="200"/>
        <w:outlineLvl w:val="1"/>
        <w:rPr>
          <w:rFonts w:ascii="黑体" w:hAnsi="黑体" w:eastAsia="黑体" w:cs="黑体"/>
          <w:sz w:val="32"/>
          <w:szCs w:val="32"/>
        </w:rPr>
      </w:pPr>
      <w:r>
        <w:rPr>
          <w:rFonts w:hint="eastAsia" w:ascii="黑体" w:hAnsi="黑体" w:eastAsia="黑体" w:cs="黑体"/>
          <w:sz w:val="32"/>
          <w:szCs w:val="32"/>
        </w:rPr>
        <w:t>十、机关运行经费支出情况说明</w:t>
      </w:r>
    </w:p>
    <w:p>
      <w:pPr>
        <w:pStyle w:val="4"/>
        <w:widowControl/>
        <w:wordWrap w:val="0"/>
        <w:spacing w:beforeAutospacing="0" w:afterAutospacing="0" w:line="360" w:lineRule="auto"/>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2021年度我院无机关运行经费安排的支出。</w:t>
      </w:r>
    </w:p>
    <w:p>
      <w:pPr>
        <w:widowControl/>
        <w:spacing w:line="590" w:lineRule="exact"/>
        <w:ind w:firstLine="640" w:firstLineChars="200"/>
        <w:outlineLvl w:val="1"/>
        <w:rPr>
          <w:rFonts w:ascii="黑体" w:hAnsi="黑体" w:eastAsia="黑体" w:cs="黑体"/>
          <w:sz w:val="32"/>
          <w:szCs w:val="32"/>
        </w:rPr>
      </w:pPr>
      <w:r>
        <w:rPr>
          <w:rFonts w:hint="eastAsia" w:ascii="黑体" w:hAnsi="黑体" w:eastAsia="黑体" w:cs="黑体"/>
          <w:sz w:val="32"/>
          <w:szCs w:val="32"/>
        </w:rPr>
        <w:t>十一、政府采购支出情况说明</w:t>
      </w:r>
    </w:p>
    <w:p>
      <w:pPr>
        <w:pStyle w:val="4"/>
        <w:widowControl/>
        <w:wordWrap w:val="0"/>
        <w:spacing w:beforeAutospacing="0" w:afterAutospacing="0" w:line="360" w:lineRule="auto"/>
        <w:ind w:firstLine="640" w:firstLineChars="200"/>
        <w:rPr>
          <w:rFonts w:ascii="仿宋" w:hAnsi="仿宋" w:eastAsia="仿宋" w:cs="仿宋"/>
          <w:color w:val="000000"/>
          <w:sz w:val="32"/>
          <w:szCs w:val="32"/>
          <w:lang w:bidi="ar"/>
        </w:rPr>
      </w:pPr>
      <w:r>
        <w:rPr>
          <w:rFonts w:hint="eastAsia" w:ascii="仿宋" w:hAnsi="仿宋" w:eastAsia="仿宋" w:cs="仿宋"/>
          <w:color w:val="000000"/>
          <w:sz w:val="32"/>
          <w:szCs w:val="32"/>
          <w:lang w:bidi="ar"/>
        </w:rPr>
        <w:t>2021年度我院政府采购支出总额5033.98万元，其中：政府采购货物支出1902.86万元，政府采购工程支出831.51万元，政府采购信息支出2299.61万元。</w:t>
      </w:r>
    </w:p>
    <w:p>
      <w:pPr>
        <w:widowControl/>
        <w:spacing w:line="590" w:lineRule="exact"/>
        <w:ind w:firstLine="640" w:firstLineChars="200"/>
        <w:outlineLvl w:val="1"/>
        <w:rPr>
          <w:rFonts w:ascii="黑体" w:hAnsi="黑体" w:eastAsia="黑体" w:cs="黑体"/>
          <w:sz w:val="32"/>
          <w:szCs w:val="32"/>
        </w:rPr>
      </w:pPr>
      <w:r>
        <w:rPr>
          <w:rFonts w:hint="eastAsia" w:ascii="黑体" w:hAnsi="黑体" w:eastAsia="黑体" w:cs="黑体"/>
          <w:sz w:val="32"/>
          <w:szCs w:val="32"/>
        </w:rPr>
        <w:t>十二、国有资产占用情况说明</w:t>
      </w:r>
    </w:p>
    <w:p>
      <w:pPr>
        <w:widowControl/>
        <w:ind w:firstLine="640" w:firstLineChars="200"/>
        <w:jc w:val="left"/>
        <w:rPr>
          <w:rFonts w:ascii="黑体" w:hAnsi="宋体" w:eastAsia="黑体" w:cs="宋体"/>
          <w:kern w:val="0"/>
          <w:sz w:val="28"/>
          <w:szCs w:val="28"/>
        </w:rPr>
      </w:pPr>
      <w:r>
        <w:rPr>
          <w:rFonts w:ascii="仿宋_GB2312" w:hAnsi="宋体" w:eastAsia="仿宋_GB2312" w:cs="Courier New"/>
          <w:sz w:val="32"/>
          <w:szCs w:val="32"/>
        </w:rPr>
        <w:t>20</w:t>
      </w:r>
      <w:r>
        <w:rPr>
          <w:rFonts w:hint="eastAsia" w:ascii="仿宋_GB2312" w:hAnsi="宋体" w:eastAsia="仿宋_GB2312" w:cs="Courier New"/>
          <w:sz w:val="32"/>
          <w:szCs w:val="32"/>
        </w:rPr>
        <w:t>21年期末，我单位共有车辆</w:t>
      </w:r>
      <w:r>
        <w:rPr>
          <w:rFonts w:hint="eastAsia" w:ascii="仿宋_GB2312" w:eastAsia="仿宋_GB2312"/>
          <w:sz w:val="32"/>
          <w:szCs w:val="32"/>
        </w:rPr>
        <w:t>28</w:t>
      </w:r>
      <w:r>
        <w:rPr>
          <w:rFonts w:hint="eastAsia" w:ascii="仿宋_GB2312" w:hAnsi="宋体" w:eastAsia="仿宋_GB2312" w:cs="Courier New"/>
          <w:sz w:val="32"/>
          <w:szCs w:val="32"/>
        </w:rPr>
        <w:t>辆，其中：一般公务用车</w:t>
      </w:r>
      <w:r>
        <w:rPr>
          <w:rFonts w:hint="eastAsia" w:ascii="仿宋_GB2312" w:eastAsia="仿宋_GB2312"/>
          <w:sz w:val="32"/>
          <w:szCs w:val="32"/>
        </w:rPr>
        <w:t>12</w:t>
      </w:r>
      <w:r>
        <w:rPr>
          <w:rFonts w:hint="eastAsia" w:ascii="仿宋_GB2312" w:hAnsi="宋体" w:eastAsia="仿宋_GB2312" w:cs="Courier New"/>
          <w:sz w:val="32"/>
          <w:szCs w:val="32"/>
        </w:rPr>
        <w:t>辆、特种专业技术用车</w:t>
      </w:r>
      <w:r>
        <w:rPr>
          <w:rFonts w:hint="eastAsia" w:ascii="仿宋_GB2312" w:eastAsia="仿宋_GB2312"/>
          <w:sz w:val="32"/>
          <w:szCs w:val="32"/>
        </w:rPr>
        <w:t>15</w:t>
      </w:r>
      <w:r>
        <w:rPr>
          <w:rFonts w:hint="eastAsia" w:ascii="仿宋_GB2312" w:hAnsi="宋体" w:eastAsia="仿宋_GB2312" w:cs="Courier New"/>
          <w:sz w:val="32"/>
          <w:szCs w:val="32"/>
        </w:rPr>
        <w:t>辆，其他用车</w:t>
      </w:r>
      <w:r>
        <w:rPr>
          <w:rFonts w:hint="eastAsia" w:ascii="仿宋_GB2312" w:eastAsia="仿宋_GB2312"/>
          <w:sz w:val="32"/>
          <w:szCs w:val="32"/>
        </w:rPr>
        <w:t>1</w:t>
      </w:r>
      <w:r>
        <w:rPr>
          <w:rFonts w:hint="eastAsia" w:ascii="仿宋_GB2312" w:hAnsi="宋体" w:eastAsia="仿宋_GB2312" w:cs="Courier New"/>
          <w:sz w:val="32"/>
          <w:szCs w:val="32"/>
        </w:rPr>
        <w:t>辆，其他用车主要是电动观光车，用于接送病人；单价</w:t>
      </w:r>
      <w:r>
        <w:rPr>
          <w:rFonts w:ascii="仿宋_GB2312" w:hAnsi="宋体" w:eastAsia="仿宋_GB2312" w:cs="Courier New"/>
          <w:sz w:val="32"/>
          <w:szCs w:val="32"/>
        </w:rPr>
        <w:t>50</w:t>
      </w:r>
      <w:r>
        <w:rPr>
          <w:rFonts w:hint="eastAsia" w:ascii="仿宋_GB2312" w:hAnsi="宋体" w:eastAsia="仿宋_GB2312" w:cs="Courier New"/>
          <w:sz w:val="32"/>
          <w:szCs w:val="32"/>
        </w:rPr>
        <w:t>万元以上通用设备</w:t>
      </w:r>
      <w:r>
        <w:rPr>
          <w:rFonts w:hint="eastAsia" w:ascii="仿宋_GB2312" w:eastAsia="仿宋_GB2312"/>
          <w:sz w:val="32"/>
          <w:szCs w:val="32"/>
        </w:rPr>
        <w:t>71</w:t>
      </w:r>
      <w:r>
        <w:rPr>
          <w:rFonts w:hint="eastAsia" w:ascii="仿宋_GB2312" w:hAnsi="宋体" w:eastAsia="仿宋_GB2312" w:cs="Courier New"/>
          <w:sz w:val="32"/>
          <w:szCs w:val="32"/>
        </w:rPr>
        <w:t>台（套），单位价值</w:t>
      </w:r>
      <w:r>
        <w:rPr>
          <w:rFonts w:ascii="仿宋_GB2312" w:hAnsi="宋体" w:eastAsia="仿宋_GB2312" w:cs="Courier New"/>
          <w:sz w:val="32"/>
          <w:szCs w:val="32"/>
        </w:rPr>
        <w:t>100</w:t>
      </w:r>
      <w:r>
        <w:rPr>
          <w:rFonts w:hint="eastAsia" w:ascii="仿宋_GB2312" w:hAnsi="宋体" w:eastAsia="仿宋_GB2312" w:cs="Courier New"/>
          <w:sz w:val="32"/>
          <w:szCs w:val="32"/>
        </w:rPr>
        <w:t>万元以上专用设备</w:t>
      </w:r>
      <w:r>
        <w:rPr>
          <w:rFonts w:hint="eastAsia" w:ascii="仿宋_GB2312" w:eastAsia="仿宋_GB2312"/>
          <w:sz w:val="32"/>
          <w:szCs w:val="32"/>
        </w:rPr>
        <w:t>46</w:t>
      </w:r>
      <w:r>
        <w:rPr>
          <w:rFonts w:hint="eastAsia" w:ascii="仿宋_GB2312" w:hAnsi="宋体" w:eastAsia="仿宋_GB2312" w:cs="Courier New"/>
          <w:sz w:val="32"/>
          <w:szCs w:val="32"/>
        </w:rPr>
        <w:t>台（套）。</w:t>
      </w:r>
    </w:p>
    <w:p>
      <w:pPr>
        <w:jc w:val="center"/>
        <w:outlineLvl w:val="0"/>
        <w:rPr>
          <w:rFonts w:ascii="黑体" w:hAnsi="黑体" w:eastAsia="黑体" w:cs="黑体"/>
          <w:sz w:val="48"/>
          <w:szCs w:val="48"/>
        </w:rPr>
      </w:pPr>
    </w:p>
    <w:p>
      <w:pPr>
        <w:jc w:val="center"/>
        <w:outlineLvl w:val="0"/>
        <w:rPr>
          <w:rFonts w:ascii="黑体" w:hAnsi="黑体" w:eastAsia="黑体" w:cs="黑体"/>
          <w:sz w:val="48"/>
          <w:szCs w:val="48"/>
        </w:rPr>
      </w:pPr>
      <w:r>
        <w:rPr>
          <w:rFonts w:hint="eastAsia" w:ascii="黑体" w:hAnsi="黑体" w:eastAsia="黑体" w:cs="黑体"/>
          <w:sz w:val="48"/>
          <w:szCs w:val="48"/>
        </w:rPr>
        <w:t>第四部分  名词解释</w:t>
      </w:r>
    </w:p>
    <w:p>
      <w:pPr>
        <w:jc w:val="center"/>
        <w:rPr>
          <w:rFonts w:ascii="黑体" w:hAnsi="黑体" w:eastAsia="黑体" w:cs="黑体"/>
          <w:sz w:val="48"/>
          <w:szCs w:val="48"/>
        </w:rPr>
      </w:pPr>
    </w:p>
    <w:p>
      <w:pPr>
        <w:jc w:val="center"/>
        <w:outlineLvl w:val="0"/>
        <w:rPr>
          <w:rFonts w:ascii="黑体" w:hAnsi="黑体" w:eastAsia="黑体" w:cs="黑体"/>
          <w:sz w:val="48"/>
          <w:szCs w:val="48"/>
        </w:rPr>
        <w:sectPr>
          <w:pgSz w:w="11906" w:h="16838"/>
          <w:pgMar w:top="1440" w:right="1531" w:bottom="1440" w:left="1587" w:header="850" w:footer="992" w:gutter="0"/>
          <w:pgNumType w:fmt="numberInDash"/>
          <w:cols w:space="720" w:num="1"/>
          <w:docGrid w:type="lines" w:linePitch="317" w:charSpace="0"/>
        </w:sectPr>
      </w:pPr>
    </w:p>
    <w:p>
      <w:pPr>
        <w:widowControl/>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一、财政拨款收入：单位从同级政府财政部门取得的财政预算资金。</w:t>
      </w:r>
    </w:p>
    <w:p>
      <w:pPr>
        <w:widowControl/>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二、事业收入：事业单位开展专业业务活动及其辅助活动取得的收入。</w:t>
      </w:r>
    </w:p>
    <w:p>
      <w:pPr>
        <w:widowControl/>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三、上级补助收入：事业单位从主管部门和上级单位取得的非财政补助收入。</w:t>
      </w:r>
    </w:p>
    <w:p>
      <w:pPr>
        <w:widowControl/>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四、附属单位上缴收入：事业单位取得附属独立核算单位根据有关规定上缴的收入。</w:t>
      </w:r>
    </w:p>
    <w:p>
      <w:pPr>
        <w:widowControl/>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五、经营收入：事业单位在专业业务活动及其辅助活动之外开展非独立核算经营活动取得的收入。</w:t>
      </w:r>
    </w:p>
    <w:p>
      <w:pPr>
        <w:widowControl/>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六、其他收入：单位取得的除“财政拨款收入”、“事业收入”、“上级补助收入”、“附属单位上缴收入”、“经营收入”以外的各项收入。</w:t>
      </w:r>
    </w:p>
    <w:p>
      <w:pPr>
        <w:widowControl/>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七、使用非财政拨款结余：指事业单位使用以前年度积累的非财政拨款结余弥补当年收支差额的金额。</w:t>
      </w:r>
    </w:p>
    <w:p>
      <w:pPr>
        <w:widowControl/>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八、基本支出：为保障机构正常运转、完成日常工作任务而发生的人员支出和公用支出。</w:t>
      </w:r>
    </w:p>
    <w:p>
      <w:pPr>
        <w:widowControl/>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九、项目支出：基本支出之外为完成特定行政任务和事业发展目标所发生的支出。</w:t>
      </w:r>
    </w:p>
    <w:p>
      <w:pPr>
        <w:widowControl/>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十、“三公”经费：纳入同级财政预决算管理“三公”经费，指单位使用财政拨款安排的因公出国（境）费、公务用车购置及运行费和公务接待费。其中，因公出国（境）费反映单位公务出国（境）的国际旅费、国外城市间交通费、住宿费、伙食费、培训费、公杂费等支出；公务用车购置及运行费反映反映单位公务用车车辆购置支出（含车辆购置税）及租用费、燃料费、维修费、过路过桥费、保险费、安全奖励费用等支出；公务接待费反映单位按规定开支的各类公务接待（含外宾接待）支出。</w:t>
      </w:r>
    </w:p>
    <w:p>
      <w:pPr>
        <w:widowControl/>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十一、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十二、工资福利支出：单位支付给在职职工和编制外长期聘用人员的各类劳动报酬，以及为上述人员缴纳的各项社会保险费等。</w:t>
      </w:r>
    </w:p>
    <w:p>
      <w:pPr>
        <w:widowControl/>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十三、商品和服务支出：单位购买商品和服务的支出。</w:t>
      </w:r>
    </w:p>
    <w:p>
      <w:pPr>
        <w:widowControl/>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十四、对个人和家庭的补助支出：单位用于对个人和家庭的补助支出。</w:t>
      </w:r>
    </w:p>
    <w:p>
      <w:pPr>
        <w:widowControl/>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十五、年末结转：本年度或以前年度预算安排，已执行但尚未完成或因客观条件发生变化无法按原计划实施，需延迟到以后年度按有关规定继续使用的资金。</w:t>
      </w:r>
    </w:p>
    <w:p>
      <w:pPr>
        <w:widowControl/>
        <w:spacing w:line="59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十六、年末结余：本年度或以前年度预算安排，已执行完毕或因客观条件发生变化无法按原预算安排实施，不需要再使用或无法按原预算安排继续使用的资金。</w:t>
      </w:r>
    </w:p>
    <w:p/>
    <w:sectPr>
      <w:pgSz w:w="11906" w:h="16838"/>
      <w:pgMar w:top="1928" w:right="1474" w:bottom="1701"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- 2 -</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- 2 -</w:t>
                    </w:r>
                    <w:r>
                      <w:rPr>
                        <w:rFonts w:hint="eastAsia"/>
                        <w:sz w:val="1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- 20 -</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- 20 -</w:t>
                    </w:r>
                    <w:r>
                      <w:rPr>
                        <w:rFonts w:hint="eastAsia"/>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8C8F17"/>
    <w:multiLevelType w:val="singleLevel"/>
    <w:tmpl w:val="A58C8F17"/>
    <w:lvl w:ilvl="0" w:tentative="0">
      <w:start w:val="5"/>
      <w:numFmt w:val="chineseCounting"/>
      <w:suff w:val="nothing"/>
      <w:lvlText w:val="%1、"/>
      <w:lvlJc w:val="left"/>
      <w:rPr>
        <w:rFonts w:hint="eastAsia"/>
      </w:rPr>
    </w:lvl>
  </w:abstractNum>
  <w:abstractNum w:abstractNumId="1">
    <w:nsid w:val="33B55152"/>
    <w:multiLevelType w:val="singleLevel"/>
    <w:tmpl w:val="33B55152"/>
    <w:lvl w:ilvl="0" w:tentative="0">
      <w:start w:val="3"/>
      <w:numFmt w:val="chineseCounting"/>
      <w:suff w:val="nothing"/>
      <w:lvlText w:val="（%1）"/>
      <w:lvlJc w:val="left"/>
      <w:rPr>
        <w:rFonts w:hint="eastAsia"/>
      </w:rPr>
    </w:lvl>
  </w:abstractNum>
  <w:abstractNum w:abstractNumId="2">
    <w:nsid w:val="36055799"/>
    <w:multiLevelType w:val="singleLevel"/>
    <w:tmpl w:val="36055799"/>
    <w:lvl w:ilvl="0" w:tentative="0">
      <w:start w:val="3"/>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iN2FlYjdmZTFiNDE1ZDE2YTc2N2FiZTNlMTg5NDAifQ=="/>
  </w:docVars>
  <w:rsids>
    <w:rsidRoot w:val="00CF3656"/>
    <w:rsid w:val="000C10F8"/>
    <w:rsid w:val="006F38DE"/>
    <w:rsid w:val="00CF3656"/>
    <w:rsid w:val="02097C40"/>
    <w:rsid w:val="028B36A9"/>
    <w:rsid w:val="05EC0902"/>
    <w:rsid w:val="0CD841C0"/>
    <w:rsid w:val="0EFC6A29"/>
    <w:rsid w:val="14B42E76"/>
    <w:rsid w:val="330B5D82"/>
    <w:rsid w:val="43676ADC"/>
    <w:rsid w:val="44216071"/>
    <w:rsid w:val="454C25A0"/>
    <w:rsid w:val="4D922231"/>
    <w:rsid w:val="52653F05"/>
    <w:rsid w:val="5B101B12"/>
    <w:rsid w:val="706A7177"/>
    <w:rsid w:val="796C1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kern w:val="0"/>
      <w:sz w:val="24"/>
    </w:rPr>
  </w:style>
  <w:style w:type="character" w:styleId="7">
    <w:name w:val="Strong"/>
    <w:basedOn w:val="6"/>
    <w:qFormat/>
    <w:uiPriority w:val="0"/>
    <w:rPr>
      <w:b/>
    </w:rPr>
  </w:style>
  <w:style w:type="character" w:customStyle="1" w:styleId="8">
    <w:name w:val="页眉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6505</Words>
  <Characters>8734</Characters>
  <Lines>79</Lines>
  <Paragraphs>22</Paragraphs>
  <TotalTime>1</TotalTime>
  <ScaleCrop>false</ScaleCrop>
  <LinksUpToDate>false</LinksUpToDate>
  <CharactersWithSpaces>8994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2023-03-01T03:52:00Z</dcterms:created>
  <dc:creator>lenovo</dc:creator>
  <cp:lastModifiedBy>Administrator</cp:lastModifiedBy>
  <dcterms:modified xsi:type="dcterms:W3CDTF">2023-05-24T03:35:01Z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6DE3575772C8491387C3085C8CEC6113</vt:lpwstr>
  </property>
</Properties>
</file>