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sz w:val="24"/>
        </w:rPr>
      </w:pPr>
      <w:bookmarkStart w:id="0" w:name="_Toc420663906"/>
      <w:r>
        <w:rPr>
          <w:rFonts w:hint="eastAsia"/>
          <w:b/>
          <w:bCs/>
        </w:rPr>
        <w:t>附件2：</w:t>
      </w:r>
      <w:r>
        <w:rPr>
          <w:rFonts w:hint="eastAsia"/>
          <w:b/>
          <w:bCs/>
          <w:sz w:val="24"/>
        </w:rPr>
        <w:t>临床研究机构初步审查提供文件清单</w:t>
      </w:r>
      <w:bookmarkEnd w:id="0"/>
      <w:r>
        <w:rPr>
          <w:rFonts w:hint="eastAsia"/>
          <w:b/>
          <w:bCs/>
          <w:sz w:val="24"/>
        </w:rPr>
        <w:t>（</w:t>
      </w:r>
      <w:r>
        <w:rPr>
          <w:rFonts w:ascii="Times New Roman" w:hAnsi="宋体"/>
          <w:b/>
          <w:bCs/>
          <w:sz w:val="24"/>
        </w:rPr>
        <w:t>CTI-</w:t>
      </w:r>
      <w:r>
        <w:rPr>
          <w:rFonts w:hint="eastAsia" w:ascii="Times New Roman" w:hAnsi="宋体"/>
          <w:b/>
          <w:bCs/>
          <w:sz w:val="24"/>
        </w:rPr>
        <w:t>C</w:t>
      </w:r>
      <w:r>
        <w:rPr>
          <w:rFonts w:ascii="Times New Roman" w:hAnsi="宋体"/>
          <w:b/>
          <w:bCs/>
          <w:sz w:val="24"/>
        </w:rPr>
        <w:t>-</w:t>
      </w:r>
      <w:r>
        <w:rPr>
          <w:rFonts w:hint="eastAsia" w:ascii="Times New Roman" w:hAnsi="宋体"/>
          <w:b/>
          <w:bCs/>
          <w:sz w:val="24"/>
        </w:rPr>
        <w:t>004.04</w:t>
      </w:r>
      <w:r>
        <w:rPr>
          <w:rFonts w:ascii="Times New Roman" w:hAnsi="宋体"/>
          <w:b/>
          <w:bCs/>
          <w:sz w:val="24"/>
        </w:rPr>
        <w:t>-A0</w:t>
      </w:r>
      <w:r>
        <w:rPr>
          <w:rFonts w:hint="eastAsia" w:ascii="Times New Roman" w:hAnsi="宋体"/>
          <w:b/>
          <w:bCs/>
          <w:sz w:val="24"/>
        </w:rPr>
        <w:t>2</w:t>
      </w:r>
      <w:r>
        <w:rPr>
          <w:rFonts w:ascii="Times New Roman" w:hAnsi="宋体"/>
          <w:b/>
          <w:bCs/>
          <w:sz w:val="24"/>
        </w:rPr>
        <w:t>-</w:t>
      </w:r>
      <w:r>
        <w:rPr>
          <w:rFonts w:hint="eastAsia" w:ascii="Times New Roman" w:hAnsi="宋体"/>
          <w:b/>
          <w:bCs/>
          <w:sz w:val="24"/>
        </w:rPr>
        <w:t>V1.0</w:t>
      </w:r>
      <w:r>
        <w:rPr>
          <w:rFonts w:hint="eastAsia"/>
          <w:b/>
          <w:bCs/>
          <w:sz w:val="24"/>
        </w:rPr>
        <w:t>）</w:t>
      </w:r>
    </w:p>
    <w:p/>
    <w:p>
      <w:pPr>
        <w:rPr>
          <w:rFonts w:ascii="宋体"/>
          <w:b/>
          <w:sz w:val="24"/>
        </w:rPr>
      </w:pPr>
      <w:r>
        <w:rPr>
          <w:rFonts w:ascii="宋体" w:hAnsi="宋体"/>
          <w:b/>
          <w:sz w:val="24"/>
        </w:rPr>
        <w:t>II/</w:t>
      </w:r>
      <w:r>
        <w:rPr>
          <w:rFonts w:hint="eastAsia" w:ascii="宋体" w:hAnsi="宋体"/>
          <w:b/>
          <w:sz w:val="24"/>
        </w:rPr>
        <w:t>Ⅲ</w:t>
      </w:r>
      <w:r>
        <w:rPr>
          <w:rFonts w:ascii="宋体" w:hAnsi="宋体"/>
          <w:b/>
          <w:sz w:val="24"/>
        </w:rPr>
        <w:t>/</w:t>
      </w:r>
      <w:r>
        <w:rPr>
          <w:rFonts w:hint="eastAsia" w:ascii="宋体" w:hAnsi="宋体"/>
          <w:b/>
          <w:sz w:val="24"/>
        </w:rPr>
        <w:t>Ⅳ期临床研究机构初步审查提供文件清单（不限于）</w:t>
      </w:r>
    </w:p>
    <w:tbl>
      <w:tblPr>
        <w:tblStyle w:val="7"/>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8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临床试验立项申请审批表（申请者签名、盖章并签署日期）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pPr>
              <w:rPr>
                <w:rFonts w:hint="eastAsia"/>
              </w:rPr>
            </w:pPr>
            <w:r>
              <w:rPr>
                <w:rFonts w:hint="eastAsia"/>
              </w:rPr>
              <w:t>1）国家药品监督管理局《药物临床试验批件》部分Ⅳ期可不要求；</w:t>
            </w:r>
          </w:p>
          <w:p>
            <w:r>
              <w:rPr>
                <w:rFonts w:hint="eastAsia"/>
              </w:rPr>
              <w:t>2）按照《国家药品监督管理局关于调整药物临床试验审评审批程序的公告》（</w:t>
            </w:r>
            <w:r>
              <w:t>2004.18</w:t>
            </w:r>
            <w:r>
              <w:rPr>
                <w:rFonts w:hint="eastAsia"/>
              </w:rPr>
              <w:t>年</w:t>
            </w:r>
            <w:r>
              <w:t>7</w:t>
            </w:r>
            <w:r>
              <w:rPr>
                <w:rFonts w:hint="eastAsia"/>
              </w:rPr>
              <w:t>月</w:t>
            </w:r>
            <w:r>
              <w:t>30</w:t>
            </w:r>
            <w:r>
              <w:rPr>
                <w:rFonts w:hint="eastAsia"/>
              </w:rPr>
              <w:t>日）的要求，不再使用临床批件，而是以“自申请受理并缴费之日起</w:t>
            </w:r>
            <w:r>
              <w:t>60</w:t>
            </w:r>
            <w:r>
              <w:rPr>
                <w:rFonts w:hint="eastAsia"/>
              </w:rPr>
              <w:t>日内，申请人未收到国家药品监督管理局药品审评中心否定或者质疑意见的，可按照提交的方案开展药物临床试验” ，且伦理批件前置。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申办者资质证明及委托函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试验用药品检验合格报告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临床试验方案摘要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临床试验方案（注明版本号和日期）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病例报告表（注明版本号和日期）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知情同意书（注明版本号和日期）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研究者手册（注明版本号和日期）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多中心研究单位一览表（如有）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研究者履历及相关文件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所有以前其他机构、伦理委员会或管理部门对申请研究项目的重要决定的说明，应提供以前否定结论的理由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34" w:type="dxa"/>
            <w:noWrap w:val="0"/>
            <w:vAlign w:val="top"/>
          </w:tcPr>
          <w:p>
            <w:pPr>
              <w:pStyle w:val="12"/>
              <w:numPr>
                <w:ilvl w:val="0"/>
                <w:numId w:val="1"/>
              </w:numPr>
              <w:ind w:firstLineChars="0"/>
              <w:jc w:val="center"/>
            </w:pPr>
          </w:p>
        </w:tc>
        <w:tc>
          <w:tcPr>
            <w:tcW w:w="8184" w:type="dxa"/>
            <w:noWrap w:val="0"/>
            <w:vAlign w:val="top"/>
          </w:tcPr>
          <w:p>
            <w:r>
              <w:rPr>
                <w:rFonts w:hint="eastAsia"/>
              </w:rPr>
              <w:t>其他资料（如受试者须知、受试者日记、紧急联系卡、招募广告、保险声明等）。</w:t>
            </w:r>
          </w:p>
        </w:tc>
      </w:tr>
    </w:tbl>
    <w:p>
      <w:pPr>
        <w:rPr>
          <w:rFonts w:ascii="宋体"/>
          <w:b/>
          <w:sz w:val="24"/>
        </w:rPr>
      </w:pPr>
    </w:p>
    <w:p>
      <w:pPr>
        <w:rPr>
          <w:rFonts w:ascii="宋体"/>
          <w:b/>
          <w:sz w:val="24"/>
        </w:rPr>
      </w:pPr>
      <w:r>
        <w:rPr>
          <w:rFonts w:hint="eastAsia" w:ascii="宋体" w:hAnsi="宋体"/>
          <w:b/>
          <w:sz w:val="24"/>
        </w:rPr>
        <w:t>医疗器械</w:t>
      </w:r>
      <w:r>
        <w:rPr>
          <w:rFonts w:ascii="宋体" w:hAnsi="宋体"/>
          <w:b/>
          <w:sz w:val="24"/>
        </w:rPr>
        <w:t>/</w:t>
      </w:r>
      <w:r>
        <w:rPr>
          <w:rFonts w:hint="eastAsia" w:ascii="宋体" w:hAnsi="宋体"/>
          <w:b/>
          <w:sz w:val="24"/>
        </w:rPr>
        <w:t>诊断试剂临床试验机构初步审查提供文件清单（不限于）</w:t>
      </w:r>
    </w:p>
    <w:tbl>
      <w:tblPr>
        <w:tblStyle w:val="7"/>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8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临床试验立项申请审批表（申请者签名、盖章并签署日期）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国家药品监督管理局临床试验批件（第三类）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省食品药品监督管理局临床试验备案资料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申办者资质证明（法人证书、营业执照、</w:t>
            </w:r>
            <w:r>
              <w:t>GMP</w:t>
            </w:r>
            <w:r>
              <w:rPr>
                <w:rFonts w:hint="eastAsia"/>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医疗器械说明书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注册产品标准或相应的国家、行业标准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试验用医疗器械</w:t>
            </w:r>
            <w:r>
              <w:t>/</w:t>
            </w:r>
            <w:r>
              <w:rPr>
                <w:rFonts w:hint="eastAsia"/>
              </w:rPr>
              <w:t>诊断试剂研制的质量保证和质量控制文件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试验用医疗器械</w:t>
            </w:r>
            <w:r>
              <w:t>/</w:t>
            </w:r>
            <w:r>
              <w:rPr>
                <w:rFonts w:hint="eastAsia"/>
              </w:rPr>
              <w:t>诊断试剂的自检报告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临床试验方案摘要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临床试验方案（注明版本号和日期）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病例报告表（注明版本号和日期）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知情同意书（注明版本号和日期）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受试者日记卡和其他问卷表（注明版本号和日期）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首次用于植入人体的医疗器械，须有动物实验报告</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招募受试者材料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研究者履历及相关文件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多中心研究单位一览表（如有）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34" w:type="dxa"/>
            <w:noWrap w:val="0"/>
            <w:vAlign w:val="top"/>
          </w:tcPr>
          <w:p>
            <w:pPr>
              <w:pStyle w:val="12"/>
              <w:numPr>
                <w:ilvl w:val="0"/>
                <w:numId w:val="2"/>
              </w:numPr>
              <w:ind w:firstLineChars="0"/>
            </w:pPr>
          </w:p>
        </w:tc>
        <w:tc>
          <w:tcPr>
            <w:tcW w:w="8184" w:type="dxa"/>
            <w:noWrap w:val="0"/>
            <w:vAlign w:val="top"/>
          </w:tcPr>
          <w:p>
            <w:r>
              <w:rPr>
                <w:rFonts w:hint="eastAsia"/>
              </w:rPr>
              <w:t>所有以前其他机构、伦理委员会或管理部门对申请研究项目的重要决定的说明，应提供以前否定结论的理由。</w:t>
            </w:r>
          </w:p>
        </w:tc>
      </w:tr>
    </w:tbl>
    <w:p/>
    <w:p/>
    <w:p/>
    <w:p/>
    <w:p/>
    <w:p/>
    <w:p/>
    <w:p/>
    <w:p/>
    <w:p/>
    <w:p/>
    <w:p/>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9180"/>
        <w:tab w:val="clear" w:pos="8306"/>
      </w:tabs>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tabs>
                              <w:tab w:val="right" w:pos="9180"/>
                              <w:tab w:val="clear" w:pos="8306"/>
                            </w:tabs>
                            <w:jc w:val="right"/>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5"/>
                      <w:tabs>
                        <w:tab w:val="right" w:pos="9180"/>
                        <w:tab w:val="clear" w:pos="8306"/>
                      </w:tabs>
                      <w:jc w:val="right"/>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w:t>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drawing>
        <wp:inline distT="0" distB="0" distL="114300" distR="114300">
          <wp:extent cx="2414270" cy="523875"/>
          <wp:effectExtent l="0" t="0" r="11430" b="9525"/>
          <wp:docPr id="1" name="图片 1" descr="人民医院标识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人民医院标识 拷贝"/>
                  <pic:cNvPicPr>
                    <a:picLocks noChangeAspect="1"/>
                  </pic:cNvPicPr>
                </pic:nvPicPr>
                <pic:blipFill>
                  <a:blip r:embed="rId1">
                    <a:clrChange>
                      <a:clrFrom>
                        <a:srgbClr val="FFFFFF"/>
                      </a:clrFrom>
                      <a:clrTo>
                        <a:srgbClr val="FFFFFF">
                          <a:alpha val="0"/>
                        </a:srgbClr>
                      </a:clrTo>
                    </a:clrChange>
                  </a:blip>
                  <a:stretch>
                    <a:fillRect/>
                  </a:stretch>
                </pic:blipFill>
                <pic:spPr>
                  <a:xfrm>
                    <a:off x="0" y="0"/>
                    <a:ext cx="2414270" cy="523875"/>
                  </a:xfrm>
                  <a:prstGeom prst="rect">
                    <a:avLst/>
                  </a:prstGeom>
                  <a:noFill/>
                  <a:ln>
                    <a:noFill/>
                  </a:ln>
                </pic:spPr>
              </pic:pic>
            </a:graphicData>
          </a:graphic>
        </wp:inline>
      </w:drawing>
    </w:r>
    <w:r>
      <w:rPr>
        <w:rFonts w:hint="eastAsia"/>
      </w:rPr>
      <w:t xml:space="preserve"> </w:t>
    </w:r>
    <w:r>
      <w:t xml:space="preserve">                  </w:t>
    </w:r>
    <w:r>
      <w:rPr>
        <w:rFonts w:hint="eastAsia"/>
      </w:rPr>
      <w:t xml:space="preserve">                     机构文档</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147200"/>
    <w:multiLevelType w:val="multilevel"/>
    <w:tmpl w:val="4C147200"/>
    <w:lvl w:ilvl="0" w:tentative="0">
      <w:start w:val="1"/>
      <w:numFmt w:val="decimal"/>
      <w:pStyle w:val="2"/>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780C3177"/>
    <w:multiLevelType w:val="multilevel"/>
    <w:tmpl w:val="780C3177"/>
    <w:lvl w:ilvl="0" w:tentative="0">
      <w:start w:val="1"/>
      <w:numFmt w:val="decimal"/>
      <w:lvlText w:val="%1."/>
      <w:lvlJc w:val="left"/>
      <w:pPr>
        <w:ind w:left="420" w:hanging="420"/>
      </w:pPr>
      <w:rPr>
        <w:rFonts w:hint="eastAsia"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MyNzg4ODdiZDgwMTEzY2Y4ZWRhMTdlNGNlNDg4MWEifQ=="/>
  </w:docVars>
  <w:rsids>
    <w:rsidRoot w:val="00C36BDE"/>
    <w:rsid w:val="0029424E"/>
    <w:rsid w:val="00372FFD"/>
    <w:rsid w:val="004738F3"/>
    <w:rsid w:val="00496873"/>
    <w:rsid w:val="00527F44"/>
    <w:rsid w:val="00926384"/>
    <w:rsid w:val="00C36BDE"/>
    <w:rsid w:val="00CA3BFA"/>
    <w:rsid w:val="00D54D68"/>
    <w:rsid w:val="00E405AF"/>
    <w:rsid w:val="00F540F6"/>
    <w:rsid w:val="2EB01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5"/>
    <w:qFormat/>
    <w:uiPriority w:val="0"/>
    <w:pPr>
      <w:numPr>
        <w:ilvl w:val="0"/>
        <w:numId w:val="1"/>
      </w:numPr>
      <w:spacing w:before="0" w:after="0" w:line="360" w:lineRule="auto"/>
      <w:outlineLvl w:val="0"/>
    </w:pPr>
    <w:rPr>
      <w:rFonts w:ascii="Times New Roman" w:hAnsi="宋体" w:eastAsia="宋体" w:cs="Times New Roman"/>
      <w:sz w:val="24"/>
      <w:szCs w:val="24"/>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4"/>
    <w:semiHidden/>
    <w:unhideWhenUsed/>
    <w:qFormat/>
    <w:uiPriority w:val="99"/>
    <w:rPr>
      <w:sz w:val="18"/>
      <w:szCs w:val="18"/>
    </w:rPr>
  </w:style>
  <w:style w:type="paragraph" w:styleId="5">
    <w:name w:val="footer"/>
    <w:basedOn w:val="1"/>
    <w:link w:val="10"/>
    <w:unhideWhenUsed/>
    <w:uiPriority w:val="99"/>
    <w:pPr>
      <w:tabs>
        <w:tab w:val="center" w:pos="4153"/>
        <w:tab w:val="right" w:pos="8306"/>
      </w:tabs>
      <w:snapToGrid w:val="0"/>
      <w:jc w:val="left"/>
    </w:pPr>
    <w:rPr>
      <w:sz w:val="18"/>
      <w:szCs w:val="18"/>
    </w:rPr>
  </w:style>
  <w:style w:type="paragraph" w:styleId="6">
    <w:name w:val="header"/>
    <w:basedOn w:val="1"/>
    <w:link w:val="9"/>
    <w:unhideWhenUsed/>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8"/>
    <w:link w:val="6"/>
    <w:uiPriority w:val="0"/>
    <w:rPr>
      <w:sz w:val="18"/>
      <w:szCs w:val="18"/>
    </w:rPr>
  </w:style>
  <w:style w:type="character" w:customStyle="1" w:styleId="10">
    <w:name w:val="页脚 字符"/>
    <w:basedOn w:val="8"/>
    <w:link w:val="5"/>
    <w:qFormat/>
    <w:uiPriority w:val="99"/>
    <w:rPr>
      <w:sz w:val="18"/>
      <w:szCs w:val="18"/>
    </w:rPr>
  </w:style>
  <w:style w:type="paragraph" w:customStyle="1" w:styleId="11">
    <w:name w:val="_Style 9"/>
    <w:basedOn w:val="1"/>
    <w:next w:val="12"/>
    <w:qFormat/>
    <w:uiPriority w:val="34"/>
    <w:pPr>
      <w:ind w:firstLine="420" w:firstLineChars="200"/>
    </w:pPr>
  </w:style>
  <w:style w:type="paragraph" w:styleId="12">
    <w:name w:val="List Paragraph"/>
    <w:basedOn w:val="1"/>
    <w:qFormat/>
    <w:uiPriority w:val="34"/>
    <w:pPr>
      <w:ind w:firstLine="420" w:firstLineChars="200"/>
    </w:pPr>
  </w:style>
  <w:style w:type="character" w:customStyle="1" w:styleId="13">
    <w:name w:val="页眉 Char"/>
    <w:uiPriority w:val="99"/>
    <w:rPr>
      <w:rFonts w:eastAsia="宋体"/>
      <w:kern w:val="2"/>
      <w:sz w:val="18"/>
      <w:szCs w:val="18"/>
      <w:lang w:val="en-US" w:eastAsia="zh-CN" w:bidi="ar-SA"/>
    </w:rPr>
  </w:style>
  <w:style w:type="character" w:customStyle="1" w:styleId="14">
    <w:name w:val="批注框文本 字符"/>
    <w:basedOn w:val="8"/>
    <w:link w:val="4"/>
    <w:semiHidden/>
    <w:qFormat/>
    <w:uiPriority w:val="99"/>
    <w:rPr>
      <w:rFonts w:ascii="Times New Roman" w:hAnsi="Times New Roman" w:eastAsia="宋体" w:cs="Times New Roman"/>
      <w:sz w:val="18"/>
      <w:szCs w:val="18"/>
    </w:rPr>
  </w:style>
  <w:style w:type="character" w:customStyle="1" w:styleId="15">
    <w:name w:val="标题 1 字符"/>
    <w:basedOn w:val="8"/>
    <w:link w:val="2"/>
    <w:qFormat/>
    <w:uiPriority w:val="0"/>
    <w:rPr>
      <w:rFonts w:ascii="Times New Roman" w:hAnsi="宋体" w:eastAsia="宋体" w:cs="Times New Roman"/>
      <w:b/>
      <w:bCs/>
      <w:sz w:val="24"/>
      <w:szCs w:val="24"/>
    </w:rPr>
  </w:style>
  <w:style w:type="character" w:customStyle="1" w:styleId="16">
    <w:name w:val="标题 2 字符"/>
    <w:basedOn w:val="8"/>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783</Words>
  <Characters>818</Characters>
  <Lines>6</Lines>
  <Paragraphs>1</Paragraphs>
  <TotalTime>0</TotalTime>
  <ScaleCrop>false</ScaleCrop>
  <LinksUpToDate>false</LinksUpToDate>
  <CharactersWithSpaces>819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2019-10-22T04:05:00Z</dcterms:created>
  <dc:creator>梦迪 王</dc:creator>
  <cp:lastModifiedBy>王梦迪</cp:lastModifiedBy>
  <dcterms:modified xsi:type="dcterms:W3CDTF">2022-12-09T00:37:01Z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759B027DF2ED4A6D896BA3D530248713</vt:lpwstr>
  </property>
</Properties>
</file>